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eastAsia="宋体" w:cs="Arial"/>
          <w:b/>
          <w:sz w:val="24"/>
          <w:szCs w:val="24"/>
          <w:lang w:val="en-US" w:eastAsia="zh-CN"/>
        </w:rPr>
        <w:t>-e</w:t>
      </w:r>
      <w:r>
        <w:rPr>
          <w:rFonts w:hint="eastAsia" w:ascii="Arial" w:hAnsi="Arial" w:cs="Arial"/>
          <w:b/>
          <w:sz w:val="24"/>
          <w:szCs w:val="24"/>
        </w:rPr>
        <w:t xml:space="preserve">                                 </w:t>
      </w:r>
      <w:r>
        <w:rPr>
          <w:rFonts w:hint="eastAsia" w:ascii="Arial" w:hAnsi="Arial" w:cs="Arial"/>
          <w:b/>
          <w:sz w:val="24"/>
          <w:szCs w:val="24"/>
        </w:rPr>
        <w:t>R4-2010955</w:t>
      </w:r>
      <w:bookmarkStart w:id="5" w:name="_GoBack"/>
      <w:bookmarkEnd w:id="5"/>
      <w:r>
        <w:rPr>
          <w:rFonts w:hint="eastAsia" w:ascii="Arial" w:hAnsi="Arial" w:cs="Arial"/>
          <w:b/>
          <w:sz w:val="24"/>
          <w:szCs w:val="24"/>
        </w:rPr>
        <w:t xml:space="preserve"> </w:t>
      </w:r>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rPr>
        <w:t>.</w:t>
      </w:r>
      <w:r>
        <w:rPr>
          <w:rFonts w:hint="eastAsia" w:ascii="Arial" w:hAnsi="Arial" w:cs="Arial"/>
          <w:b/>
          <w:sz w:val="24"/>
          <w:szCs w:val="24"/>
          <w:lang w:val="en-US" w:eastAsia="zh-CN"/>
        </w:rPr>
        <w:t>4</w:t>
      </w:r>
      <w:r>
        <w:rPr>
          <w:rFonts w:hint="eastAsia" w:ascii="Arial" w:hAnsi="Arial" w:cs="Arial"/>
          <w:b/>
          <w:sz w:val="24"/>
          <w:szCs w:val="24"/>
        </w:rPr>
        <w:t>.</w:t>
      </w:r>
      <w:r>
        <w:rPr>
          <w:rFonts w:hint="eastAsia" w:ascii="Arial" w:hAnsi="Arial" w:cs="Arial"/>
          <w:b/>
          <w:sz w:val="24"/>
          <w:szCs w:val="24"/>
          <w:lang w:val="en-US" w:eastAsia="zh-CN"/>
        </w:rPr>
        <w:t>2.2.2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9"/>
      <w:r>
        <w:rPr>
          <w:rFonts w:hint="eastAsia" w:ascii="Arial" w:hAnsi="Arial" w:eastAsia="宋体" w:cs="Arial"/>
          <w:b/>
          <w:sz w:val="24"/>
          <w:szCs w:val="24"/>
          <w:lang w:val="en-US" w:eastAsia="zh-CN"/>
        </w:rPr>
        <w:t xml:space="preserve">ACS and In-band blocking for IAB MT </w:t>
      </w:r>
      <w:bookmarkEnd w:id="0"/>
      <w:r>
        <w:rPr>
          <w:rFonts w:hint="eastAsia" w:ascii="Arial" w:hAnsi="Arial" w:eastAsia="宋体" w:cs="Arial"/>
          <w:b/>
          <w:sz w:val="24"/>
          <w:szCs w:val="24"/>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rPr>
        <w:t xml:space="preserve">Approval  </w:t>
      </w:r>
    </w:p>
    <w:p>
      <w:pPr>
        <w:pStyle w:val="29"/>
        <w:tabs>
          <w:tab w:val="left" w:pos="567"/>
          <w:tab w:val="clear" w:pos="1985"/>
        </w:tabs>
        <w:adjustRightInd w:val="0"/>
        <w:ind w:left="510" w:hanging="510"/>
      </w:pPr>
      <w:r>
        <w:t>Introduction</w:t>
      </w:r>
    </w:p>
    <w:p>
      <w:pPr>
        <w:pStyle w:val="36"/>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highlight w:val="yellow"/>
          <w:lang w:val="en-US" w:eastAsia="zh-CN"/>
        </w:rPr>
      </w:pPr>
      <w:r>
        <w:rPr>
          <w:rFonts w:ascii="Times New Roman" w:hAnsi="Times New Roman"/>
        </w:rPr>
        <w:t xml:space="preserve">In the </w:t>
      </w:r>
      <w:r>
        <w:rPr>
          <w:rFonts w:hint="eastAsia" w:ascii="Times New Roman" w:hAnsi="Times New Roman"/>
          <w:lang w:val="en-US" w:eastAsia="zh-CN"/>
        </w:rPr>
        <w:t>RAN4#95e</w:t>
      </w:r>
      <w:r>
        <w:rPr>
          <w:rFonts w:hint="eastAsia" w:ascii="Times New Roman" w:hAnsi="Times New Roman"/>
        </w:rPr>
        <w:t xml:space="preserve"> </w:t>
      </w:r>
      <w:r>
        <w:rPr>
          <w:rFonts w:ascii="Times New Roman" w:hAnsi="Times New Roman"/>
        </w:rPr>
        <w:t xml:space="preserve">meeting, </w:t>
      </w:r>
      <w:r>
        <w:rPr>
          <w:rFonts w:hint="eastAsia" w:ascii="Times New Roman" w:hAnsi="Times New Roman"/>
          <w:lang w:val="en-US" w:eastAsia="zh-CN"/>
        </w:rPr>
        <w:t>there were further discussions for IAB-MT ACS and IBB requirement and WF [1] was approved with some open issues left for further discussion. In this contribution, we want to share some further inputs on that.</w:t>
      </w:r>
    </w:p>
    <w:p>
      <w:pPr>
        <w:pStyle w:val="29"/>
        <w:tabs>
          <w:tab w:val="left" w:pos="567"/>
          <w:tab w:val="clear" w:pos="1985"/>
        </w:tabs>
        <w:adjustRightInd w:val="0"/>
        <w:ind w:left="510" w:hanging="510"/>
        <w:rPr>
          <w:rFonts w:hint="eastAsia" w:ascii="Arial" w:hAnsi="Arial"/>
          <w:lang w:val="en-US" w:eastAsia="zh-CN"/>
        </w:rPr>
      </w:pPr>
      <w:r>
        <w:rPr>
          <w:rFonts w:hint="eastAsia" w:ascii="Arial" w:hAnsi="Arial"/>
        </w:rPr>
        <w:t xml:space="preserve">Discussion </w:t>
      </w:r>
      <w:bookmarkStart w:id="2" w:name="OLE_LINK13"/>
      <w:bookmarkStart w:id="3" w:name="OLE_LINK14"/>
    </w:p>
    <w:p>
      <w:bookmarkStart w:id="4" w:name="OLE_LINK2"/>
    </w:p>
    <w:p>
      <w:pPr>
        <w:pStyle w:val="30"/>
        <w:numPr>
          <w:ilvl w:val="0"/>
          <w:numId w:val="2"/>
        </w:numPr>
        <w:ind w:firstLineChars="0"/>
        <w:rPr>
          <w:highlight w:val="none"/>
        </w:rPr>
      </w:pPr>
      <w:r>
        <w:rPr>
          <w:highlight w:val="none"/>
        </w:rPr>
        <w:t>ACS and IBB of FR1 WA IAB-MT Type 1-H:</w:t>
      </w:r>
    </w:p>
    <w:p>
      <w:pPr>
        <w:rPr>
          <w:highlight w:val="none"/>
        </w:rPr>
      </w:pPr>
    </w:p>
    <w:tbl>
      <w:tblPr>
        <w:tblStyle w:val="26"/>
        <w:tblW w:w="10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5"/>
        <w:gridCol w:w="2565"/>
        <w:gridCol w:w="2566"/>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256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 IAB-MT</w:t>
            </w:r>
          </w:p>
        </w:tc>
        <w:tc>
          <w:tcPr>
            <w:tcW w:w="256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Wanted signal level[dBm]</w:t>
            </w:r>
          </w:p>
        </w:tc>
        <w:tc>
          <w:tcPr>
            <w:tcW w:w="25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Interference signal level [dBm]</w:t>
            </w:r>
          </w:p>
        </w:tc>
        <w:tc>
          <w:tcPr>
            <w:tcW w:w="2566" w:type="dxa"/>
            <w:vAlign w:val="top"/>
          </w:tcPr>
          <w:p>
            <w:pPr>
              <w:overflowPunct w:val="0"/>
              <w:autoSpaceDE w:val="0"/>
              <w:autoSpaceDN w:val="0"/>
              <w:adjustRightInd w:val="0"/>
              <w:textAlignment w:val="baseline"/>
              <w:rPr>
                <w:rFonts w:eastAsia="Yu Mincho"/>
                <w:highlight w:val="none"/>
                <w:lang w:val="en-US" w:eastAsia="zh-CN"/>
              </w:rPr>
            </w:pPr>
            <w:r>
              <w:rPr>
                <w:rFonts w:eastAsia="宋体"/>
                <w:b/>
                <w:highlight w:val="none"/>
                <w:u w:val="single"/>
                <w:lang w:eastAsia="ko-KR"/>
              </w:rPr>
              <w:t>Interference signal bandwidth and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256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ACS(45dB)</w:t>
            </w:r>
          </w:p>
        </w:tc>
        <w:tc>
          <w:tcPr>
            <w:tcW w:w="256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REFSENS+6dB</w:t>
            </w:r>
          </w:p>
        </w:tc>
        <w:tc>
          <w:tcPr>
            <w:tcW w:w="25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-52</w:t>
            </w:r>
          </w:p>
        </w:tc>
        <w:tc>
          <w:tcPr>
            <w:tcW w:w="25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CP-OFDM, </w:t>
            </w:r>
            <w:r>
              <w:rPr>
                <w:rFonts w:hint="eastAsia" w:eastAsia="宋体"/>
                <w:highlight w:val="none"/>
                <w:lang w:val="en-US" w:eastAsia="zh-CN"/>
              </w:rPr>
              <w:t>FFS on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76" w:hRule="atLeast"/>
        </w:trPr>
        <w:tc>
          <w:tcPr>
            <w:tcW w:w="256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In-band blocking </w:t>
            </w:r>
          </w:p>
        </w:tc>
        <w:tc>
          <w:tcPr>
            <w:tcW w:w="256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REFSENS+6dB</w:t>
            </w:r>
          </w:p>
        </w:tc>
        <w:tc>
          <w:tcPr>
            <w:tcW w:w="25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-43</w:t>
            </w:r>
          </w:p>
        </w:tc>
        <w:tc>
          <w:tcPr>
            <w:tcW w:w="25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CP-OFDM, </w:t>
            </w:r>
            <w:r>
              <w:rPr>
                <w:rFonts w:hint="eastAsia" w:eastAsia="宋体"/>
                <w:highlight w:val="none"/>
                <w:lang w:val="en-US" w:eastAsia="zh-CN"/>
              </w:rPr>
              <w:t>FFS on others</w:t>
            </w:r>
          </w:p>
        </w:tc>
      </w:tr>
    </w:tbl>
    <w:p>
      <w:pPr>
        <w:rPr>
          <w:rFonts w:hint="default"/>
          <w:lang w:val="en-US" w:eastAsia="zh-CN"/>
        </w:rPr>
      </w:pPr>
      <w:r>
        <w:rPr>
          <w:rFonts w:hint="eastAsia"/>
          <w:lang w:val="en-US" w:eastAsia="zh-CN"/>
        </w:rPr>
        <w:t>For interfering signal bandwidth for WA IAB-MT type 1-H, instead of using different bandwidth below 2700MHz and above 3300MHz in UE spec, we think it</w:t>
      </w:r>
      <w:r>
        <w:rPr>
          <w:rFonts w:hint="default"/>
          <w:lang w:val="en-US" w:eastAsia="zh-CN"/>
        </w:rPr>
        <w:t>’</w:t>
      </w:r>
      <w:r>
        <w:rPr>
          <w:rFonts w:hint="eastAsia"/>
          <w:lang w:val="en-US" w:eastAsia="zh-CN"/>
        </w:rPr>
        <w:t>s better to reuse BS approach to have different interfering bandwidth for below 20MHz wanted signal bandwidth and above 20MHz wanted signal bandwidth.</w:t>
      </w:r>
    </w:p>
    <w:p>
      <w:pPr>
        <w:rPr>
          <w:rFonts w:hint="default"/>
          <w:lang w:val="en-US" w:eastAsia="zh-CN"/>
        </w:rPr>
      </w:pPr>
      <w:r>
        <w:rPr>
          <w:rFonts w:hint="eastAsia"/>
          <w:lang w:val="en-US" w:eastAsia="zh-CN"/>
        </w:rPr>
        <w:t>For interfering signal offset for WA IAB-MT type 1-H, interfering signal offset of FR1 BS ACS requirement  could be reused, almost the same principle is used to avoid the orthogonality between wanted signal and interfering signal from both BS and UE side. For IBB requirement of FR1 WA IAB-MT type 1-H, the same offset as FR1 NR BS could also be reused for IAB-MT.</w:t>
      </w:r>
    </w:p>
    <w:p>
      <w:pPr>
        <w:rPr>
          <w:rFonts w:hint="default"/>
          <w:b/>
          <w:bCs/>
          <w:lang w:val="en-US" w:eastAsia="zh-CN"/>
        </w:rPr>
      </w:pPr>
      <w:r>
        <w:rPr>
          <w:rFonts w:hint="eastAsia"/>
          <w:b/>
          <w:bCs/>
          <w:lang w:val="en-US" w:eastAsia="zh-CN"/>
        </w:rPr>
        <w:t xml:space="preserve">Proposal 1: For WA IAB-MT type 1-H, the same interfering signal bandwidth and interfering signal offset of FR1 NR BS could be reused. </w:t>
      </w:r>
    </w:p>
    <w:p>
      <w:pPr>
        <w:rPr>
          <w:rFonts w:hint="default"/>
          <w:lang w:val="en-US" w:eastAsia="zh-CN"/>
        </w:rPr>
      </w:pPr>
    </w:p>
    <w:p>
      <w:pPr>
        <w:pStyle w:val="30"/>
        <w:numPr>
          <w:ilvl w:val="0"/>
          <w:numId w:val="2"/>
        </w:numPr>
        <w:ind w:firstLineChars="0"/>
        <w:rPr>
          <w:highlight w:val="none"/>
        </w:rPr>
      </w:pPr>
      <w:r>
        <w:rPr>
          <w:highlight w:val="none"/>
        </w:rPr>
        <w:t>ACS of FR1 WA IAB-MT Type 1-O:</w:t>
      </w:r>
    </w:p>
    <w:p>
      <w:pPr>
        <w:pStyle w:val="30"/>
        <w:ind w:left="720" w:firstLine="0" w:firstLineChars="0"/>
        <w:rPr>
          <w:highlight w:val="none"/>
        </w:rPr>
      </w:pPr>
    </w:p>
    <w:tbl>
      <w:tblPr>
        <w:tblStyle w:val="26"/>
        <w:tblW w:w="9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2"/>
        <w:gridCol w:w="2877"/>
        <w:gridCol w:w="2043"/>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2042"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 IAB-MT</w:t>
            </w:r>
          </w:p>
        </w:tc>
        <w:tc>
          <w:tcPr>
            <w:tcW w:w="287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Wanted signal level[dBm]</w:t>
            </w:r>
          </w:p>
        </w:tc>
        <w:tc>
          <w:tcPr>
            <w:tcW w:w="2043"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Interference signal level [dBm]</w:t>
            </w:r>
          </w:p>
        </w:tc>
        <w:tc>
          <w:tcPr>
            <w:tcW w:w="2043"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rPr>
              <w:t>Interference signal bandwidth and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2042"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ACS (45dB)</w:t>
            </w:r>
          </w:p>
        </w:tc>
        <w:tc>
          <w:tcPr>
            <w:tcW w:w="2877" w:type="dxa"/>
            <w:vAlign w:val="top"/>
          </w:tcPr>
          <w:p>
            <w:pPr>
              <w:overflowPunct w:val="0"/>
              <w:autoSpaceDE w:val="0"/>
              <w:autoSpaceDN w:val="0"/>
              <w:adjustRightInd w:val="0"/>
              <w:textAlignment w:val="baseline"/>
              <w:rPr>
                <w:rFonts w:eastAsia="Yu Mincho" w:cs="Arial"/>
                <w:highlight w:val="none"/>
              </w:rPr>
            </w:pPr>
            <w:r>
              <w:rPr>
                <w:rFonts w:eastAsia="Yu Mincho"/>
                <w:highlight w:val="none"/>
                <w:lang w:val="en-US" w:eastAsia="zh-CN"/>
              </w:rPr>
              <w:t>EISminSENS +6dB</w:t>
            </w:r>
          </w:p>
        </w:tc>
        <w:tc>
          <w:tcPr>
            <w:tcW w:w="2043" w:type="dxa"/>
            <w:vAlign w:val="top"/>
          </w:tcPr>
          <w:p>
            <w:pPr>
              <w:overflowPunct w:val="0"/>
              <w:autoSpaceDE w:val="0"/>
              <w:autoSpaceDN w:val="0"/>
              <w:adjustRightInd w:val="0"/>
              <w:textAlignment w:val="baseline"/>
              <w:rPr>
                <w:rFonts w:eastAsia="Yu Mincho"/>
                <w:highlight w:val="none"/>
                <w:lang w:eastAsia="zh-CN"/>
              </w:rPr>
            </w:pPr>
            <w:r>
              <w:rPr>
                <w:rFonts w:eastAsia="Yu Mincho"/>
                <w:highlight w:val="none"/>
                <w:lang w:val="en-US" w:eastAsia="zh-CN"/>
              </w:rPr>
              <w:t>-52 – ΔminSENS</w:t>
            </w:r>
          </w:p>
        </w:tc>
        <w:tc>
          <w:tcPr>
            <w:tcW w:w="2043" w:type="dxa"/>
            <w:vAlign w:val="top"/>
          </w:tcPr>
          <w:p>
            <w:pPr>
              <w:overflowPunct w:val="0"/>
              <w:autoSpaceDE w:val="0"/>
              <w:autoSpaceDN w:val="0"/>
              <w:adjustRightInd w:val="0"/>
              <w:textAlignment w:val="baseline"/>
              <w:rPr>
                <w:rFonts w:eastAsia="Yu Mincho"/>
                <w:highlight w:val="none"/>
              </w:rPr>
            </w:pPr>
            <w:r>
              <w:rPr>
                <w:rFonts w:eastAsia="Yu Mincho"/>
                <w:highlight w:val="none"/>
                <w:lang w:val="en-US" w:eastAsia="zh-CN"/>
              </w:rPr>
              <w:t xml:space="preserve">CP-OFDM, </w:t>
            </w:r>
            <w:r>
              <w:rPr>
                <w:rFonts w:hint="eastAsia" w:eastAsia="宋体"/>
                <w:highlight w:val="none"/>
                <w:lang w:val="en-US" w:eastAsia="zh-CN"/>
              </w:rPr>
              <w:t>FFS on others</w:t>
            </w:r>
          </w:p>
        </w:tc>
      </w:tr>
    </w:tbl>
    <w:p>
      <w:pPr>
        <w:pStyle w:val="30"/>
        <w:ind w:left="720" w:firstLine="0" w:firstLineChars="0"/>
        <w:rPr>
          <w:highlight w:val="none"/>
        </w:rPr>
      </w:pPr>
    </w:p>
    <w:p>
      <w:pPr>
        <w:pStyle w:val="30"/>
        <w:numPr>
          <w:ilvl w:val="0"/>
          <w:numId w:val="2"/>
        </w:numPr>
        <w:ind w:left="720" w:hanging="360" w:firstLineChars="0"/>
        <w:rPr>
          <w:highlight w:val="none"/>
        </w:rPr>
      </w:pPr>
      <w:r>
        <w:rPr>
          <w:highlight w:val="none"/>
        </w:rPr>
        <w:t>IBB of FR1 WA IAB-MT Type 1-O:</w:t>
      </w:r>
    </w:p>
    <w:tbl>
      <w:tblPr>
        <w:tblStyle w:val="26"/>
        <w:tblW w:w="81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5"/>
        <w:gridCol w:w="2045"/>
        <w:gridCol w:w="2046"/>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04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 IAB-MT</w:t>
            </w:r>
          </w:p>
        </w:tc>
        <w:tc>
          <w:tcPr>
            <w:tcW w:w="204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Wanted signal level[dBm]</w:t>
            </w:r>
          </w:p>
        </w:tc>
        <w:tc>
          <w:tcPr>
            <w:tcW w:w="204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Interference signal level [dBm]</w:t>
            </w:r>
          </w:p>
        </w:tc>
        <w:tc>
          <w:tcPr>
            <w:tcW w:w="204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rPr>
              <w:t>Interference signal bandwidth and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2045" w:type="dxa"/>
            <w:vMerge w:val="restart"/>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In-band blocking </w:t>
            </w:r>
          </w:p>
        </w:tc>
        <w:tc>
          <w:tcPr>
            <w:tcW w:w="2045"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cs="Arial"/>
                <w:highlight w:val="none"/>
              </w:rPr>
              <w:t>EIS</w:t>
            </w:r>
            <w:r>
              <w:rPr>
                <w:rFonts w:eastAsia="Yu Mincho" w:cs="Arial"/>
                <w:highlight w:val="none"/>
                <w:vertAlign w:val="subscript"/>
              </w:rPr>
              <w:t>REFSENS</w:t>
            </w:r>
            <w:r>
              <w:rPr>
                <w:rFonts w:eastAsia="Yu Mincho"/>
                <w:highlight w:val="none"/>
                <w:lang w:val="en-US" w:eastAsia="zh-CN"/>
              </w:rPr>
              <w:t xml:space="preserve"> +6dB</w:t>
            </w:r>
          </w:p>
        </w:tc>
        <w:tc>
          <w:tcPr>
            <w:tcW w:w="2046"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highlight w:val="none"/>
                <w:lang w:eastAsia="zh-CN"/>
              </w:rPr>
              <w:t>-43 - Δ</w:t>
            </w:r>
            <w:r>
              <w:rPr>
                <w:rFonts w:eastAsia="Yu Mincho"/>
                <w:highlight w:val="none"/>
                <w:vertAlign w:val="subscript"/>
                <w:lang w:eastAsia="zh-CN"/>
              </w:rPr>
              <w:t>OTAREFSENS</w:t>
            </w:r>
          </w:p>
        </w:tc>
        <w:tc>
          <w:tcPr>
            <w:tcW w:w="2046" w:type="dxa"/>
            <w:vMerge w:val="restart"/>
            <w:vAlign w:val="top"/>
          </w:tcPr>
          <w:p>
            <w:pPr>
              <w:overflowPunct w:val="0"/>
              <w:autoSpaceDE w:val="0"/>
              <w:autoSpaceDN w:val="0"/>
              <w:adjustRightInd w:val="0"/>
              <w:textAlignment w:val="baseline"/>
              <w:rPr>
                <w:rFonts w:eastAsia="Yu Mincho"/>
                <w:highlight w:val="none"/>
                <w:lang w:eastAsia="zh-CN"/>
              </w:rPr>
            </w:pPr>
            <w:r>
              <w:rPr>
                <w:rFonts w:eastAsia="Yu Mincho"/>
                <w:highlight w:val="none"/>
              </w:rPr>
              <w:t xml:space="preserve">CP-OFDM, </w:t>
            </w:r>
            <w:r>
              <w:rPr>
                <w:rFonts w:eastAsia="Yu Mincho"/>
                <w:highlight w:val="none"/>
                <w:lang w:val="en-US" w:eastAsia="zh-CN"/>
              </w:rPr>
              <w:t>CP-OFDM, FFS on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2045" w:type="dxa"/>
            <w:vMerge w:val="continue"/>
            <w:vAlign w:val="top"/>
          </w:tcPr>
          <w:p>
            <w:pPr>
              <w:overflowPunct w:val="0"/>
              <w:autoSpaceDE w:val="0"/>
              <w:autoSpaceDN w:val="0"/>
              <w:adjustRightInd w:val="0"/>
              <w:textAlignment w:val="baseline"/>
              <w:rPr>
                <w:rFonts w:eastAsia="Yu Mincho"/>
                <w:highlight w:val="none"/>
                <w:lang w:val="en-US" w:eastAsia="zh-CN"/>
              </w:rPr>
            </w:pPr>
          </w:p>
        </w:tc>
        <w:tc>
          <w:tcPr>
            <w:tcW w:w="204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 EISminSENS + 6 dB</w:t>
            </w:r>
          </w:p>
        </w:tc>
        <w:tc>
          <w:tcPr>
            <w:tcW w:w="204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-43  – ΔminSENS</w:t>
            </w:r>
          </w:p>
        </w:tc>
        <w:tc>
          <w:tcPr>
            <w:tcW w:w="2046" w:type="dxa"/>
            <w:vMerge w:val="continue"/>
            <w:vAlign w:val="top"/>
          </w:tcPr>
          <w:p>
            <w:pPr>
              <w:overflowPunct w:val="0"/>
              <w:autoSpaceDE w:val="0"/>
              <w:autoSpaceDN w:val="0"/>
              <w:adjustRightInd w:val="0"/>
              <w:textAlignment w:val="baseline"/>
              <w:rPr>
                <w:rFonts w:eastAsia="Yu Mincho"/>
                <w:highlight w:val="none"/>
                <w:lang w:val="en-US" w:eastAsia="zh-CN"/>
              </w:rPr>
            </w:pPr>
          </w:p>
        </w:tc>
      </w:tr>
    </w:tbl>
    <w:p>
      <w:pPr>
        <w:pStyle w:val="30"/>
        <w:ind w:left="720" w:firstLine="0" w:firstLineChars="0"/>
      </w:pPr>
    </w:p>
    <w:p>
      <w:pPr>
        <w:pStyle w:val="30"/>
        <w:numPr>
          <w:ilvl w:val="0"/>
          <w:numId w:val="0"/>
        </w:numPr>
        <w:ind w:left="0" w:firstLine="0" w:firstLineChars="0"/>
        <w:rPr>
          <w:rFonts w:hint="default" w:eastAsia="宋体"/>
          <w:lang w:val="en-US" w:eastAsia="zh-CN"/>
        </w:rPr>
      </w:pPr>
      <w:r>
        <w:rPr>
          <w:rFonts w:hint="eastAsia"/>
          <w:kern w:val="2"/>
          <w:sz w:val="21"/>
          <w:szCs w:val="22"/>
          <w:lang w:val="en-US" w:eastAsia="zh-CN" w:bidi="ar-SA"/>
        </w:rPr>
        <w:t>It</w:t>
      </w:r>
      <w:r>
        <w:rPr>
          <w:rFonts w:hint="default"/>
          <w:kern w:val="2"/>
          <w:sz w:val="21"/>
          <w:szCs w:val="22"/>
          <w:lang w:val="en-US" w:eastAsia="zh-CN" w:bidi="ar-SA"/>
        </w:rPr>
        <w:t>’</w:t>
      </w:r>
      <w:r>
        <w:rPr>
          <w:rFonts w:hint="eastAsia"/>
          <w:kern w:val="2"/>
          <w:sz w:val="21"/>
          <w:szCs w:val="22"/>
          <w:lang w:val="en-US" w:eastAsia="zh-CN" w:bidi="ar-SA"/>
        </w:rPr>
        <w:t xml:space="preserve">s the same story for </w:t>
      </w:r>
      <w:r>
        <w:rPr>
          <w:rFonts w:hint="eastAsia"/>
        </w:rPr>
        <w:t>FR1 WA IAB-MT Type 1-O</w:t>
      </w:r>
      <w:r>
        <w:rPr>
          <w:rFonts w:hint="eastAsia"/>
          <w:lang w:val="en-US" w:eastAsia="zh-CN"/>
        </w:rPr>
        <w:t xml:space="preserve">, therefore the same proposals are made as following: </w:t>
      </w:r>
    </w:p>
    <w:p>
      <w:pPr>
        <w:rPr>
          <w:rFonts w:hint="default"/>
          <w:b/>
          <w:bCs/>
          <w:lang w:val="en-US" w:eastAsia="zh-CN"/>
        </w:rPr>
      </w:pPr>
      <w:r>
        <w:rPr>
          <w:rFonts w:hint="eastAsia"/>
          <w:b/>
          <w:bCs/>
          <w:lang w:val="en-US" w:eastAsia="zh-CN"/>
        </w:rPr>
        <w:t xml:space="preserve">Proposal 2: For WA IAB-MT type 1-O, the same interfering signal bandwidth and interfering signal offset of FR1 NR BS could be reused. </w:t>
      </w:r>
    </w:p>
    <w:p/>
    <w:p>
      <w:pPr>
        <w:pStyle w:val="30"/>
        <w:numPr>
          <w:ilvl w:val="0"/>
          <w:numId w:val="2"/>
        </w:numPr>
        <w:ind w:firstLineChars="0"/>
        <w:rPr>
          <w:rFonts w:eastAsia="宋体"/>
          <w:highlight w:val="none"/>
          <w:lang w:eastAsia="zh-CN"/>
        </w:rPr>
      </w:pPr>
      <w:r>
        <w:rPr>
          <w:highlight w:val="none"/>
          <w:lang w:val="en-US"/>
        </w:rPr>
        <w:t>FR1  LA IAB-MT Type 1-H  with below candidate options</w:t>
      </w:r>
    </w:p>
    <w:tbl>
      <w:tblPr>
        <w:tblStyle w:val="2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1378"/>
        <w:gridCol w:w="1875"/>
        <w:gridCol w:w="5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85" w:type="dxa"/>
            <w:gridSpan w:val="2"/>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LA IAB-MT</w:t>
            </w:r>
          </w:p>
        </w:tc>
        <w:tc>
          <w:tcPr>
            <w:tcW w:w="187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Wanted signal level[dBm]</w:t>
            </w:r>
          </w:p>
        </w:tc>
        <w:tc>
          <w:tcPr>
            <w:tcW w:w="569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Interference signal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 w:type="dxa"/>
            <w:vMerge w:val="restart"/>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Option 1: ACS 33dB</w:t>
            </w:r>
          </w:p>
        </w:tc>
        <w:tc>
          <w:tcPr>
            <w:tcW w:w="1378"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ACS</w:t>
            </w:r>
          </w:p>
        </w:tc>
        <w:tc>
          <w:tcPr>
            <w:tcW w:w="187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REFSENS+14dB</w:t>
            </w:r>
          </w:p>
        </w:tc>
        <w:tc>
          <w:tcPr>
            <w:tcW w:w="569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Case 1: REFSENS+45.5</w:t>
            </w:r>
          </w:p>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Necessity on case 2 is FFS since the dynamic range for FR1 IAB-MT is open too.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 w:type="dxa"/>
            <w:vMerge w:val="continue"/>
            <w:vAlign w:val="top"/>
          </w:tcPr>
          <w:p>
            <w:pPr>
              <w:overflowPunct w:val="0"/>
              <w:autoSpaceDE w:val="0"/>
              <w:autoSpaceDN w:val="0"/>
              <w:adjustRightInd w:val="0"/>
              <w:textAlignment w:val="baseline"/>
              <w:rPr>
                <w:rFonts w:eastAsia="Yu Mincho"/>
                <w:highlight w:val="none"/>
                <w:lang w:val="en-US" w:eastAsia="zh-CN"/>
              </w:rPr>
            </w:pPr>
          </w:p>
        </w:tc>
        <w:tc>
          <w:tcPr>
            <w:tcW w:w="1378"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In-band blocking </w:t>
            </w:r>
          </w:p>
        </w:tc>
        <w:tc>
          <w:tcPr>
            <w:tcW w:w="187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REFSENS+6dB</w:t>
            </w:r>
          </w:p>
        </w:tc>
        <w:tc>
          <w:tcPr>
            <w:tcW w:w="569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Case 1:-56</w:t>
            </w:r>
          </w:p>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Case 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 w:type="dxa"/>
            <w:vMerge w:val="restart"/>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Option 2: ACS 45dB</w:t>
            </w:r>
          </w:p>
        </w:tc>
        <w:tc>
          <w:tcPr>
            <w:tcW w:w="1378"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ACS(45dB)</w:t>
            </w:r>
          </w:p>
        </w:tc>
        <w:tc>
          <w:tcPr>
            <w:tcW w:w="187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REFSENS+6dB</w:t>
            </w:r>
          </w:p>
        </w:tc>
        <w:tc>
          <w:tcPr>
            <w:tcW w:w="569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 w:type="dxa"/>
            <w:vMerge w:val="continue"/>
            <w:vAlign w:val="top"/>
          </w:tcPr>
          <w:p>
            <w:pPr>
              <w:overflowPunct w:val="0"/>
              <w:autoSpaceDE w:val="0"/>
              <w:autoSpaceDN w:val="0"/>
              <w:adjustRightInd w:val="0"/>
              <w:textAlignment w:val="baseline"/>
              <w:rPr>
                <w:rFonts w:eastAsia="Yu Mincho"/>
                <w:highlight w:val="none"/>
                <w:lang w:val="en-US" w:eastAsia="zh-CN"/>
              </w:rPr>
            </w:pPr>
          </w:p>
        </w:tc>
        <w:tc>
          <w:tcPr>
            <w:tcW w:w="1378"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In-band blocking </w:t>
            </w:r>
          </w:p>
        </w:tc>
        <w:tc>
          <w:tcPr>
            <w:tcW w:w="1875"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REFSENS+6dB</w:t>
            </w:r>
          </w:p>
        </w:tc>
        <w:tc>
          <w:tcPr>
            <w:tcW w:w="569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-35 if REFSENS = -93.7dBm</w:t>
            </w:r>
          </w:p>
        </w:tc>
      </w:tr>
    </w:tbl>
    <w:p>
      <w:pPr>
        <w:rPr>
          <w:rFonts w:eastAsia="宋体"/>
          <w:highlight w:val="none"/>
          <w:lang w:eastAsia="zh-CN"/>
        </w:rPr>
      </w:pPr>
    </w:p>
    <w:p>
      <w:pPr>
        <w:rPr>
          <w:rFonts w:hint="default" w:eastAsia="宋体"/>
          <w:highlight w:val="none"/>
          <w:lang w:val="en-US" w:eastAsia="zh-CN"/>
        </w:rPr>
      </w:pPr>
    </w:p>
    <w:p>
      <w:pPr>
        <w:pStyle w:val="30"/>
        <w:numPr>
          <w:ilvl w:val="0"/>
          <w:numId w:val="2"/>
        </w:numPr>
        <w:ind w:firstLineChars="0"/>
        <w:rPr>
          <w:highlight w:val="none"/>
        </w:rPr>
      </w:pPr>
      <w:r>
        <w:rPr>
          <w:highlight w:val="none"/>
        </w:rPr>
        <w:t>ACS of FR1 LA IAB-MT Type 1-O</w:t>
      </w:r>
      <w:r>
        <w:rPr>
          <w:highlight w:val="none"/>
          <w:lang w:val="en-US"/>
        </w:rPr>
        <w:t xml:space="preserve"> with below candidate options</w:t>
      </w:r>
    </w:p>
    <w:p>
      <w:pPr>
        <w:pStyle w:val="30"/>
        <w:ind w:left="720" w:firstLine="0" w:firstLineChars="0"/>
        <w:rPr>
          <w:highlight w:val="none"/>
        </w:rPr>
      </w:pPr>
    </w:p>
    <w:tbl>
      <w:tblPr>
        <w:tblStyle w:val="26"/>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6"/>
        <w:gridCol w:w="2066"/>
        <w:gridCol w:w="206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20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LA IAB-MT</w:t>
            </w:r>
          </w:p>
        </w:tc>
        <w:tc>
          <w:tcPr>
            <w:tcW w:w="20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Wanted signal level[dBm]</w:t>
            </w:r>
          </w:p>
        </w:tc>
        <w:tc>
          <w:tcPr>
            <w:tcW w:w="206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Interference signal level [dBm]</w:t>
            </w:r>
          </w:p>
        </w:tc>
        <w:tc>
          <w:tcPr>
            <w:tcW w:w="206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rPr>
              <w:t>Interference signal bandwidth and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trPr>
        <w:tc>
          <w:tcPr>
            <w:tcW w:w="20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Option 1: ACS 33dB </w:t>
            </w:r>
          </w:p>
        </w:tc>
        <w:tc>
          <w:tcPr>
            <w:tcW w:w="20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EISminSENS +14dB</w:t>
            </w:r>
          </w:p>
          <w:p>
            <w:pPr>
              <w:overflowPunct w:val="0"/>
              <w:autoSpaceDE w:val="0"/>
              <w:autoSpaceDN w:val="0"/>
              <w:adjustRightInd w:val="0"/>
              <w:textAlignment w:val="baseline"/>
              <w:rPr>
                <w:rFonts w:eastAsia="Yu Mincho"/>
                <w:highlight w:val="none"/>
                <w:lang w:val="en-US" w:eastAsia="zh-CN"/>
              </w:rPr>
            </w:pPr>
          </w:p>
        </w:tc>
        <w:tc>
          <w:tcPr>
            <w:tcW w:w="206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EISminSENS +45.5 – ΔminSENS</w:t>
            </w:r>
          </w:p>
          <w:p>
            <w:pPr>
              <w:overflowPunct w:val="0"/>
              <w:autoSpaceDE w:val="0"/>
              <w:autoSpaceDN w:val="0"/>
              <w:adjustRightInd w:val="0"/>
              <w:textAlignment w:val="baseline"/>
              <w:rPr>
                <w:rFonts w:eastAsia="Yu Mincho"/>
                <w:highlight w:val="none"/>
                <w:lang w:val="en-US" w:eastAsia="zh-CN"/>
              </w:rPr>
            </w:pPr>
          </w:p>
        </w:tc>
        <w:tc>
          <w:tcPr>
            <w:tcW w:w="2067" w:type="dxa"/>
            <w:vAlign w:val="top"/>
          </w:tcPr>
          <w:p>
            <w:pPr>
              <w:overflowPunct w:val="0"/>
              <w:autoSpaceDE w:val="0"/>
              <w:autoSpaceDN w:val="0"/>
              <w:adjustRightInd w:val="0"/>
              <w:textAlignment w:val="baseline"/>
              <w:rPr>
                <w:rFonts w:eastAsia="Yu Mincho"/>
                <w:highlight w:val="none"/>
              </w:rPr>
            </w:pPr>
            <w:r>
              <w:rPr>
                <w:rFonts w:eastAsia="Yu Mincho"/>
                <w:highlight w:val="none"/>
              </w:rPr>
              <w:t>CP-OFDM, other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2066"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Option 2: ACS 45 dB </w:t>
            </w:r>
          </w:p>
        </w:tc>
        <w:tc>
          <w:tcPr>
            <w:tcW w:w="2066"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highlight w:val="none"/>
                <w:lang w:val="en-US" w:eastAsia="zh-CN"/>
              </w:rPr>
              <w:t>EISminSENS +6dB</w:t>
            </w:r>
          </w:p>
        </w:tc>
        <w:tc>
          <w:tcPr>
            <w:tcW w:w="2067"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highlight w:val="none"/>
                <w:lang w:val="en-US" w:eastAsia="zh-CN"/>
              </w:rPr>
              <w:t>-44 – ΔminSENS</w:t>
            </w:r>
          </w:p>
        </w:tc>
        <w:tc>
          <w:tcPr>
            <w:tcW w:w="2067"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rPr>
              <w:t xml:space="preserve">CP-OFDM, </w:t>
            </w:r>
            <w:r>
              <w:rPr>
                <w:rFonts w:eastAsia="Yu Mincho"/>
                <w:highlight w:val="none"/>
                <w:lang w:eastAsia="zh-CN"/>
              </w:rPr>
              <w:t>other FFS</w:t>
            </w:r>
          </w:p>
        </w:tc>
      </w:tr>
    </w:tbl>
    <w:p>
      <w:pPr>
        <w:rPr>
          <w:rFonts w:eastAsia="宋体"/>
          <w:highlight w:val="none"/>
          <w:lang w:val="en-US" w:eastAsia="zh-CN"/>
        </w:rPr>
      </w:pPr>
    </w:p>
    <w:p>
      <w:pPr>
        <w:rPr>
          <w:rFonts w:eastAsia="宋体"/>
          <w:highlight w:val="none"/>
          <w:lang w:eastAsia="zh-CN"/>
        </w:rPr>
      </w:pPr>
    </w:p>
    <w:p>
      <w:pPr>
        <w:pStyle w:val="30"/>
        <w:numPr>
          <w:ilvl w:val="0"/>
          <w:numId w:val="2"/>
        </w:numPr>
        <w:ind w:firstLineChars="0"/>
        <w:rPr>
          <w:highlight w:val="none"/>
        </w:rPr>
      </w:pPr>
      <w:r>
        <w:rPr>
          <w:highlight w:val="none"/>
        </w:rPr>
        <w:t>IBB of FR1 LA IAB-MT Type 1-O:</w:t>
      </w:r>
      <w:r>
        <w:rPr>
          <w:highlight w:val="none"/>
          <w:lang w:val="en-US"/>
        </w:rPr>
        <w:t xml:space="preserve"> with below candidate options</w:t>
      </w:r>
    </w:p>
    <w:p>
      <w:pPr>
        <w:pStyle w:val="30"/>
        <w:ind w:left="720" w:firstLine="0" w:firstLineChars="0"/>
        <w:rPr>
          <w:highlight w:val="none"/>
        </w:rPr>
      </w:pPr>
    </w:p>
    <w:tbl>
      <w:tblPr>
        <w:tblStyle w:val="26"/>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083"/>
        <w:gridCol w:w="2084"/>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980"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LA IAB-MT</w:t>
            </w:r>
          </w:p>
        </w:tc>
        <w:tc>
          <w:tcPr>
            <w:tcW w:w="2083"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Wanted signal level[dBm]</w:t>
            </w:r>
          </w:p>
        </w:tc>
        <w:tc>
          <w:tcPr>
            <w:tcW w:w="2084"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Interference signal level [dBm]</w:t>
            </w:r>
          </w:p>
        </w:tc>
        <w:tc>
          <w:tcPr>
            <w:tcW w:w="2084"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rPr>
              <w:t>Interference signal bandwidth and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4" w:hRule="atLeast"/>
        </w:trPr>
        <w:tc>
          <w:tcPr>
            <w:tcW w:w="1980" w:type="dxa"/>
            <w:vMerge w:val="restart"/>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Option 1: </w:t>
            </w:r>
          </w:p>
        </w:tc>
        <w:tc>
          <w:tcPr>
            <w:tcW w:w="2083"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cs="Arial"/>
                <w:highlight w:val="none"/>
              </w:rPr>
              <w:t>EIS</w:t>
            </w:r>
            <w:r>
              <w:rPr>
                <w:rFonts w:eastAsia="Yu Mincho" w:cs="Arial"/>
                <w:highlight w:val="none"/>
                <w:vertAlign w:val="subscript"/>
              </w:rPr>
              <w:t>REFSENS</w:t>
            </w:r>
            <w:r>
              <w:rPr>
                <w:rFonts w:eastAsia="Yu Mincho"/>
                <w:highlight w:val="none"/>
                <w:lang w:val="en-US" w:eastAsia="zh-CN"/>
              </w:rPr>
              <w:t xml:space="preserve"> +6dB</w:t>
            </w:r>
          </w:p>
        </w:tc>
        <w:tc>
          <w:tcPr>
            <w:tcW w:w="2084" w:type="dxa"/>
            <w:vAlign w:val="top"/>
          </w:tcPr>
          <w:p>
            <w:pPr>
              <w:overflowPunct w:val="0"/>
              <w:autoSpaceDE w:val="0"/>
              <w:autoSpaceDN w:val="0"/>
              <w:adjustRightInd w:val="0"/>
              <w:textAlignment w:val="baseline"/>
              <w:rPr>
                <w:rFonts w:eastAsia="Yu Mincho"/>
                <w:highlight w:val="none"/>
                <w:vertAlign w:val="subscript"/>
                <w:lang w:val="sv-SE" w:eastAsia="zh-CN"/>
              </w:rPr>
            </w:pPr>
            <w:r>
              <w:rPr>
                <w:rFonts w:eastAsia="Yu Mincho"/>
                <w:highlight w:val="none"/>
                <w:lang w:val="sv-SE" w:eastAsia="zh-CN"/>
              </w:rPr>
              <w:t xml:space="preserve">-56 - </w:t>
            </w:r>
            <w:r>
              <w:rPr>
                <w:rFonts w:eastAsia="Yu Mincho"/>
                <w:highlight w:val="none"/>
                <w:lang w:eastAsia="zh-CN"/>
              </w:rPr>
              <w:t>Δ</w:t>
            </w:r>
            <w:r>
              <w:rPr>
                <w:rFonts w:eastAsia="Yu Mincho"/>
                <w:highlight w:val="none"/>
                <w:vertAlign w:val="subscript"/>
                <w:lang w:val="sv-SE" w:eastAsia="zh-CN"/>
              </w:rPr>
              <w:t>OTAREFSENS</w:t>
            </w:r>
          </w:p>
          <w:p>
            <w:pPr>
              <w:overflowPunct w:val="0"/>
              <w:autoSpaceDE w:val="0"/>
              <w:autoSpaceDN w:val="0"/>
              <w:adjustRightInd w:val="0"/>
              <w:textAlignment w:val="baseline"/>
              <w:rPr>
                <w:rFonts w:eastAsia="Yu Mincho"/>
                <w:strike/>
                <w:highlight w:val="none"/>
                <w:lang w:val="sv-SE" w:eastAsia="zh-CN"/>
              </w:rPr>
            </w:pPr>
            <w:r>
              <w:rPr>
                <w:rFonts w:eastAsia="Yu Mincho"/>
                <w:highlight w:val="none"/>
                <w:lang w:val="sv-SE" w:eastAsia="zh-CN"/>
              </w:rPr>
              <w:t xml:space="preserve">-44 - </w:t>
            </w:r>
            <w:r>
              <w:rPr>
                <w:rFonts w:eastAsia="Yu Mincho"/>
                <w:highlight w:val="none"/>
                <w:lang w:eastAsia="zh-CN"/>
              </w:rPr>
              <w:t>Δ</w:t>
            </w:r>
            <w:r>
              <w:rPr>
                <w:rFonts w:eastAsia="Yu Mincho"/>
                <w:highlight w:val="none"/>
                <w:vertAlign w:val="subscript"/>
                <w:lang w:val="sv-SE" w:eastAsia="zh-CN"/>
              </w:rPr>
              <w:t>OTAREFSENS</w:t>
            </w:r>
          </w:p>
        </w:tc>
        <w:tc>
          <w:tcPr>
            <w:tcW w:w="2084" w:type="dxa"/>
            <w:vMerge w:val="restart"/>
            <w:vAlign w:val="top"/>
          </w:tcPr>
          <w:p>
            <w:pPr>
              <w:overflowPunct w:val="0"/>
              <w:autoSpaceDE w:val="0"/>
              <w:autoSpaceDN w:val="0"/>
              <w:adjustRightInd w:val="0"/>
              <w:textAlignment w:val="baseline"/>
              <w:rPr>
                <w:rFonts w:eastAsia="Yu Mincho"/>
                <w:highlight w:val="none"/>
              </w:rPr>
            </w:pPr>
            <w:r>
              <w:rPr>
                <w:rFonts w:eastAsia="Yu Mincho"/>
                <w:highlight w:val="none"/>
              </w:rPr>
              <w:t>CP-OFDM</w:t>
            </w:r>
            <w:r>
              <w:rPr>
                <w:rFonts w:eastAsia="Yu Mincho"/>
                <w:highlight w:val="none"/>
                <w:lang w:eastAsia="zh-CN"/>
              </w:rPr>
              <w:t>, Others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980" w:type="dxa"/>
            <w:vMerge w:val="continue"/>
            <w:vAlign w:val="top"/>
          </w:tcPr>
          <w:p>
            <w:pPr>
              <w:overflowPunct w:val="0"/>
              <w:autoSpaceDE w:val="0"/>
              <w:autoSpaceDN w:val="0"/>
              <w:adjustRightInd w:val="0"/>
              <w:textAlignment w:val="baseline"/>
              <w:rPr>
                <w:rFonts w:eastAsia="Yu Mincho"/>
                <w:highlight w:val="none"/>
                <w:lang w:val="en-US" w:eastAsia="zh-CN"/>
              </w:rPr>
            </w:pPr>
          </w:p>
        </w:tc>
        <w:tc>
          <w:tcPr>
            <w:tcW w:w="2083"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 EISminSENS + 6 dB</w:t>
            </w:r>
          </w:p>
        </w:tc>
        <w:tc>
          <w:tcPr>
            <w:tcW w:w="2084"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-56  – ΔminSENS</w:t>
            </w:r>
          </w:p>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-44  – ΔminSENS</w:t>
            </w:r>
          </w:p>
        </w:tc>
        <w:tc>
          <w:tcPr>
            <w:tcW w:w="2084" w:type="dxa"/>
            <w:vMerge w:val="continue"/>
            <w:vAlign w:val="top"/>
          </w:tcPr>
          <w:p>
            <w:pPr>
              <w:overflowPunct w:val="0"/>
              <w:autoSpaceDE w:val="0"/>
              <w:autoSpaceDN w:val="0"/>
              <w:adjustRightInd w:val="0"/>
              <w:textAlignment w:val="baseline"/>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980" w:type="dxa"/>
            <w:vMerge w:val="restart"/>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Option </w:t>
            </w:r>
            <w:r>
              <w:rPr>
                <w:rFonts w:hint="eastAsia" w:eastAsia="宋体"/>
                <w:highlight w:val="none"/>
                <w:lang w:val="en-US" w:eastAsia="zh-CN"/>
              </w:rPr>
              <w:t>2</w:t>
            </w:r>
            <w:r>
              <w:rPr>
                <w:rFonts w:eastAsia="Yu Mincho"/>
                <w:highlight w:val="none"/>
                <w:lang w:val="en-US" w:eastAsia="zh-CN"/>
              </w:rPr>
              <w:t>:</w:t>
            </w:r>
          </w:p>
        </w:tc>
        <w:tc>
          <w:tcPr>
            <w:tcW w:w="2083"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cs="Arial"/>
                <w:highlight w:val="none"/>
              </w:rPr>
              <w:t>EIS</w:t>
            </w:r>
            <w:r>
              <w:rPr>
                <w:rFonts w:eastAsia="Yu Mincho" w:cs="Arial"/>
                <w:highlight w:val="none"/>
                <w:vertAlign w:val="subscript"/>
              </w:rPr>
              <w:t>REFSENS</w:t>
            </w:r>
            <w:r>
              <w:rPr>
                <w:rFonts w:eastAsia="Yu Mincho"/>
                <w:highlight w:val="none"/>
                <w:lang w:val="en-US" w:eastAsia="zh-CN"/>
              </w:rPr>
              <w:t xml:space="preserve"> +6dB</w:t>
            </w:r>
          </w:p>
        </w:tc>
        <w:tc>
          <w:tcPr>
            <w:tcW w:w="2084" w:type="dxa"/>
            <w:vAlign w:val="top"/>
          </w:tcPr>
          <w:p>
            <w:pPr>
              <w:overflowPunct w:val="0"/>
              <w:autoSpaceDE w:val="0"/>
              <w:autoSpaceDN w:val="0"/>
              <w:adjustRightInd w:val="0"/>
              <w:textAlignment w:val="baseline"/>
              <w:rPr>
                <w:rFonts w:eastAsia="Yu Mincho"/>
                <w:strike/>
                <w:highlight w:val="none"/>
                <w:lang w:val="en-US" w:eastAsia="zh-CN"/>
              </w:rPr>
            </w:pPr>
            <w:r>
              <w:rPr>
                <w:rFonts w:eastAsia="Yu Mincho"/>
                <w:highlight w:val="none"/>
                <w:lang w:eastAsia="zh-CN"/>
              </w:rPr>
              <w:t>-35 - Δ</w:t>
            </w:r>
            <w:r>
              <w:rPr>
                <w:rFonts w:eastAsia="Yu Mincho"/>
                <w:highlight w:val="none"/>
                <w:vertAlign w:val="subscript"/>
                <w:lang w:eastAsia="zh-CN"/>
              </w:rPr>
              <w:t>OTAREFSENS</w:t>
            </w:r>
          </w:p>
        </w:tc>
        <w:tc>
          <w:tcPr>
            <w:tcW w:w="2084" w:type="dxa"/>
            <w:vMerge w:val="restart"/>
            <w:vAlign w:val="top"/>
          </w:tcPr>
          <w:p>
            <w:pPr>
              <w:overflowPunct w:val="0"/>
              <w:autoSpaceDE w:val="0"/>
              <w:autoSpaceDN w:val="0"/>
              <w:adjustRightInd w:val="0"/>
              <w:textAlignment w:val="baseline"/>
              <w:rPr>
                <w:rFonts w:eastAsia="Yu Mincho"/>
                <w:highlight w:val="none"/>
                <w:lang w:eastAsia="zh-CN"/>
              </w:rPr>
            </w:pPr>
            <w:r>
              <w:rPr>
                <w:rFonts w:eastAsia="Yu Mincho"/>
                <w:highlight w:val="none"/>
              </w:rPr>
              <w:t xml:space="preserve">CP-OFDM, </w:t>
            </w:r>
            <w:r>
              <w:rPr>
                <w:rFonts w:eastAsia="Yu Mincho"/>
                <w:highlight w:val="none"/>
                <w:lang w:eastAsia="zh-CN"/>
              </w:rPr>
              <w:t>Others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980" w:type="dxa"/>
            <w:vMerge w:val="continue"/>
            <w:vAlign w:val="top"/>
          </w:tcPr>
          <w:p>
            <w:pPr>
              <w:overflowPunct w:val="0"/>
              <w:autoSpaceDE w:val="0"/>
              <w:autoSpaceDN w:val="0"/>
              <w:adjustRightInd w:val="0"/>
              <w:textAlignment w:val="baseline"/>
              <w:rPr>
                <w:rFonts w:eastAsia="Yu Mincho"/>
                <w:highlight w:val="none"/>
                <w:lang w:val="en-US" w:eastAsia="zh-CN"/>
              </w:rPr>
            </w:pPr>
          </w:p>
        </w:tc>
        <w:tc>
          <w:tcPr>
            <w:tcW w:w="2083"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 xml:space="preserve"> EISminSENS + 6 dB</w:t>
            </w:r>
          </w:p>
        </w:tc>
        <w:tc>
          <w:tcPr>
            <w:tcW w:w="2084" w:type="dxa"/>
            <w:vAlign w:val="top"/>
          </w:tcPr>
          <w:p>
            <w:pPr>
              <w:overflowPunct w:val="0"/>
              <w:autoSpaceDE w:val="0"/>
              <w:autoSpaceDN w:val="0"/>
              <w:adjustRightInd w:val="0"/>
              <w:textAlignment w:val="baseline"/>
              <w:rPr>
                <w:rFonts w:eastAsia="Yu Mincho"/>
                <w:highlight w:val="none"/>
                <w:lang w:val="en-US" w:eastAsia="zh-CN"/>
              </w:rPr>
            </w:pPr>
            <w:r>
              <w:rPr>
                <w:rFonts w:eastAsia="Yu Mincho"/>
                <w:highlight w:val="none"/>
                <w:lang w:val="en-US" w:eastAsia="zh-CN"/>
              </w:rPr>
              <w:t>-35  – ΔminSENS</w:t>
            </w:r>
          </w:p>
        </w:tc>
        <w:tc>
          <w:tcPr>
            <w:tcW w:w="2084" w:type="dxa"/>
            <w:vMerge w:val="continue"/>
            <w:vAlign w:val="top"/>
          </w:tcPr>
          <w:p>
            <w:pPr>
              <w:overflowPunct w:val="0"/>
              <w:autoSpaceDE w:val="0"/>
              <w:autoSpaceDN w:val="0"/>
              <w:adjustRightInd w:val="0"/>
              <w:textAlignment w:val="baseline"/>
              <w:rPr>
                <w:rFonts w:eastAsia="Yu Mincho"/>
                <w:highlight w:val="none"/>
                <w:lang w:val="en-US" w:eastAsia="zh-CN"/>
              </w:rPr>
            </w:pPr>
          </w:p>
        </w:tc>
      </w:tr>
    </w:tbl>
    <w:p>
      <w:pPr>
        <w:pStyle w:val="36"/>
        <w:rPr>
          <w:rFonts w:hint="eastAsia" w:ascii="Times New Roman" w:hAnsi="Times New Roman"/>
          <w:szCs w:val="21"/>
          <w:lang w:val="en-US" w:eastAsia="zh-CN"/>
        </w:rPr>
      </w:pPr>
    </w:p>
    <w:p>
      <w:pPr>
        <w:pStyle w:val="36"/>
        <w:rPr>
          <w:rFonts w:hint="eastAsia" w:ascii="Times New Roman" w:hAnsi="Times New Roman"/>
          <w:szCs w:val="21"/>
          <w:lang w:val="en-US" w:eastAsia="zh-CN"/>
        </w:rPr>
      </w:pPr>
      <w:r>
        <w:rPr>
          <w:rFonts w:hint="eastAsia" w:ascii="Times New Roman" w:hAnsi="Times New Roman"/>
          <w:szCs w:val="21"/>
          <w:lang w:val="en-US" w:eastAsia="zh-CN"/>
        </w:rPr>
        <w:t>For LA IAB-MT type 1-H and 1-O, option 2 with BS approach is preferred, otherwise lots of requirement has to be be redefined due to FRC alignment between IAB-MT and NR BS (e.g. below 20MHz with one kind of interfering signal and above 20MHz with one kind of interfering signal, or still used UE method, but interfering signal power level is scaling with wanted signal bandwidth). It should be noted that it has been agreed that IAB-MT FRC will follow BS approach, therefore some tailoring of UE FRC in TS 38.101-1/-2 is needed to align with BS FRC.</w:t>
      </w:r>
    </w:p>
    <w:p>
      <w:pPr>
        <w:pStyle w:val="36"/>
        <w:rPr>
          <w:rFonts w:hint="default" w:ascii="Times New Roman" w:hAnsi="Times New Roman"/>
          <w:b/>
          <w:bCs/>
          <w:szCs w:val="21"/>
          <w:lang w:val="en-US" w:eastAsia="zh-CN"/>
        </w:rPr>
      </w:pPr>
      <w:r>
        <w:rPr>
          <w:rFonts w:hint="eastAsia" w:ascii="Times New Roman" w:hAnsi="Times New Roman"/>
          <w:b/>
          <w:bCs/>
          <w:szCs w:val="21"/>
          <w:lang w:val="en-US" w:eastAsia="zh-CN"/>
        </w:rPr>
        <w:t>Observation :For LA IAB-MT type 1-H and 1-O, option 2 with BS approach is preferred, otherwise lots of requirement has to be be redefined due to FRC alignment between IAB-MT and NR BS.</w:t>
      </w:r>
    </w:p>
    <w:bookmarkEnd w:id="2"/>
    <w:bookmarkEnd w:id="3"/>
    <w:bookmarkEnd w:id="4"/>
    <w:p>
      <w:pPr>
        <w:pStyle w:val="29"/>
        <w:tabs>
          <w:tab w:val="left" w:pos="567"/>
          <w:tab w:val="clear" w:pos="1985"/>
        </w:tabs>
        <w:adjustRightInd w:val="0"/>
        <w:ind w:left="510" w:hanging="510"/>
        <w:rPr>
          <w:rFonts w:hint="eastAsia" w:ascii="Arial" w:hAnsi="Arial"/>
        </w:rPr>
      </w:pPr>
      <w:r>
        <w:rPr>
          <w:rFonts w:ascii="Arial" w:hAnsi="Arial"/>
        </w:rPr>
        <w:t>Conclusions</w:t>
      </w:r>
    </w:p>
    <w:p>
      <w:pPr>
        <w:pStyle w:val="27"/>
        <w:rPr>
          <w:rFonts w:hint="eastAsia" w:ascii="Times New Roman" w:hAnsi="Times New Roman"/>
        </w:rPr>
      </w:pPr>
      <w:r>
        <w:rPr>
          <w:rFonts w:ascii="Times New Roman" w:hAnsi="Times New Roman"/>
        </w:rPr>
        <w:t>In this contribution, we share</w:t>
      </w:r>
      <w:r>
        <w:rPr>
          <w:rFonts w:hint="eastAsia" w:ascii="Times New Roman" w:hAnsi="Times New Roman"/>
        </w:rPr>
        <w:t xml:space="preserve">d more </w:t>
      </w:r>
      <w:r>
        <w:rPr>
          <w:rFonts w:hint="eastAsia" w:ascii="Times New Roman" w:hAnsi="Times New Roman" w:eastAsia="宋体"/>
          <w:lang w:val="en-US" w:eastAsia="zh-CN"/>
        </w:rPr>
        <w:t>further inputs on IAB MT IBB and proposals are made as following</w:t>
      </w:r>
      <w:r>
        <w:rPr>
          <w:rFonts w:hint="eastAsia" w:ascii="Times New Roman" w:hAnsi="Times New Roman"/>
        </w:rPr>
        <w:t xml:space="preserve">: </w:t>
      </w:r>
    </w:p>
    <w:p>
      <w:pPr>
        <w:rPr>
          <w:rFonts w:hint="default"/>
          <w:b/>
          <w:bCs/>
          <w:lang w:val="en-US" w:eastAsia="zh-CN"/>
        </w:rPr>
      </w:pPr>
      <w:r>
        <w:rPr>
          <w:rFonts w:hint="eastAsia"/>
          <w:b/>
          <w:bCs/>
          <w:lang w:val="en-US" w:eastAsia="zh-CN"/>
        </w:rPr>
        <w:t xml:space="preserve">Proposal 1: For WA IAB-MT type 1-H, the same interfering signal bandwidth and interfering signal offset of FR1 NR BS could be reused. </w:t>
      </w:r>
    </w:p>
    <w:p>
      <w:pPr>
        <w:rPr>
          <w:rFonts w:hint="default"/>
          <w:b/>
          <w:bCs/>
          <w:lang w:val="en-US" w:eastAsia="zh-CN"/>
        </w:rPr>
      </w:pPr>
      <w:r>
        <w:rPr>
          <w:rFonts w:hint="eastAsia"/>
          <w:b/>
          <w:bCs/>
          <w:lang w:val="en-US" w:eastAsia="zh-CN"/>
        </w:rPr>
        <w:t xml:space="preserve">Proposal 2: For WA IAB-MT type 1-O, the same interfering signal bandwidth and interfering signal offset of FR1 NR BS could be reused. </w:t>
      </w:r>
    </w:p>
    <w:p>
      <w:pPr>
        <w:pStyle w:val="36"/>
        <w:rPr>
          <w:rFonts w:hint="default" w:ascii="Times New Roman" w:hAnsi="Times New Roman"/>
          <w:b/>
          <w:bCs/>
          <w:szCs w:val="21"/>
          <w:lang w:val="en-US" w:eastAsia="zh-CN"/>
        </w:rPr>
      </w:pPr>
      <w:r>
        <w:rPr>
          <w:rFonts w:hint="eastAsia" w:ascii="Times New Roman" w:hAnsi="Times New Roman"/>
          <w:b/>
          <w:bCs/>
          <w:szCs w:val="21"/>
          <w:lang w:val="en-US" w:eastAsia="zh-CN"/>
        </w:rPr>
        <w:t>Observation :For LA IAB-MT type 1-H and 1-O, option 2 with BS approach is preferred, otherwise lots of requirement has to be be redefined due to FRC alignment between IAB-MT and NR BS.</w:t>
      </w:r>
    </w:p>
    <w:p>
      <w:pPr>
        <w:pStyle w:val="29"/>
        <w:tabs>
          <w:tab w:val="left" w:pos="567"/>
          <w:tab w:val="clear" w:pos="1985"/>
        </w:tabs>
        <w:adjustRightInd w:val="0"/>
        <w:ind w:left="510" w:hanging="510"/>
        <w:rPr>
          <w:rFonts w:hint="eastAsia"/>
        </w:rPr>
      </w:pPr>
      <w:r>
        <w:t>References</w:t>
      </w:r>
    </w:p>
    <w:p>
      <w:pPr>
        <w:spacing w:after="120"/>
        <w:ind w:left="1985" w:hanging="1985"/>
        <w:rPr>
          <w:rFonts w:hint="default" w:ascii="Times New Roman" w:hAnsi="Times New Roman"/>
          <w:szCs w:val="24"/>
          <w:lang w:val="en-US" w:eastAsia="zh-CN"/>
        </w:rPr>
      </w:pPr>
      <w:r>
        <w:rPr>
          <w:rFonts w:hint="eastAsia" w:ascii="Times New Roman" w:hAnsi="Times New Roman"/>
          <w:kern w:val="2"/>
          <w:sz w:val="21"/>
          <w:szCs w:val="24"/>
          <w:lang w:val="en-US" w:eastAsia="zh-CN" w:bidi="ar-SA"/>
        </w:rPr>
        <w:t xml:space="preserve">[1] </w:t>
      </w:r>
      <w:r>
        <w:rPr>
          <w:rFonts w:ascii="Times New Roman" w:hAnsi="Times New Roman"/>
          <w:kern w:val="2"/>
          <w:sz w:val="21"/>
          <w:szCs w:val="24"/>
          <w:lang w:val="en-US" w:eastAsia="zh-CN" w:bidi="ar-SA"/>
        </w:rPr>
        <w:t>R4-2009066</w:t>
      </w:r>
      <w:r>
        <w:rPr>
          <w:rFonts w:hint="eastAsia" w:ascii="Times New Roman" w:hAnsi="Times New Roman"/>
          <w:kern w:val="2"/>
          <w:sz w:val="21"/>
          <w:szCs w:val="24"/>
          <w:lang w:val="en-US" w:eastAsia="zh-CN" w:bidi="ar-SA"/>
        </w:rPr>
        <w:t>,</w:t>
      </w:r>
      <w:r>
        <w:rPr>
          <w:rFonts w:ascii="Times New Roman" w:hAnsi="Times New Roman"/>
          <w:kern w:val="2"/>
          <w:sz w:val="21"/>
          <w:szCs w:val="24"/>
          <w:lang w:val="en-US" w:eastAsia="zh-CN" w:bidi="ar-SA"/>
        </w:rPr>
        <w:t>WF on IAB-MT In-band selectivity and blocking</w:t>
      </w:r>
      <w:r>
        <w:rPr>
          <w:rFonts w:hint="eastAsia" w:ascii="Times New Roman" w:hAnsi="Times New Roman"/>
          <w:kern w:val="2"/>
          <w:sz w:val="21"/>
          <w:szCs w:val="24"/>
          <w:lang w:val="en-US" w:eastAsia="zh-CN" w:bidi="ar-SA"/>
        </w:rPr>
        <w:t>, Ericsson.</w:t>
      </w:r>
    </w:p>
    <w:p>
      <w:pPr>
        <w:numPr>
          <w:ilvl w:val="0"/>
          <w:numId w:val="0"/>
        </w:numPr>
        <w:rPr>
          <w:rFonts w:hint="eastAsia" w:ascii="Times New Roman" w:hAnsi="Times New Roman"/>
          <w:szCs w:val="24"/>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E0002AFF" w:usb1="C0007841" w:usb2="00000009" w:usb3="00000000" w:csb0="000001FF" w:csb1="00000000"/>
  </w:font>
  <w:font w:name="Calibri">
    <w:panose1 w:val="020F0502020204030204"/>
    <w:charset w:val="00"/>
    <w:family w:val="swiss"/>
    <w:pitch w:val="default"/>
    <w:sig w:usb0="E00002FF" w:usb1="4000ACFF" w:usb2="00000001"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81429"/>
    <w:multiLevelType w:val="multilevel"/>
    <w:tmpl w:val="150814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D177F5E"/>
    <w:multiLevelType w:val="multilevel"/>
    <w:tmpl w:val="5D177F5E"/>
    <w:lvl w:ilvl="0" w:tentative="0">
      <w:start w:val="1"/>
      <w:numFmt w:val="decimal"/>
      <w:pStyle w:val="2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2F7B84"/>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C13AB"/>
    <w:rsid w:val="028748E0"/>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4C64E65"/>
    <w:rsid w:val="051034CD"/>
    <w:rsid w:val="053E1AC2"/>
    <w:rsid w:val="05583DC1"/>
    <w:rsid w:val="05816D10"/>
    <w:rsid w:val="05930F73"/>
    <w:rsid w:val="05BE42A5"/>
    <w:rsid w:val="05D16BC6"/>
    <w:rsid w:val="05EE3B4E"/>
    <w:rsid w:val="060D249E"/>
    <w:rsid w:val="06474EFD"/>
    <w:rsid w:val="064A35EA"/>
    <w:rsid w:val="064B521E"/>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852F1"/>
    <w:rsid w:val="089D6B7D"/>
    <w:rsid w:val="08B21918"/>
    <w:rsid w:val="08B94847"/>
    <w:rsid w:val="08C14001"/>
    <w:rsid w:val="0953050B"/>
    <w:rsid w:val="09582472"/>
    <w:rsid w:val="096308E4"/>
    <w:rsid w:val="096B649C"/>
    <w:rsid w:val="096F1D52"/>
    <w:rsid w:val="09796C44"/>
    <w:rsid w:val="098344BC"/>
    <w:rsid w:val="09A64698"/>
    <w:rsid w:val="09AC5074"/>
    <w:rsid w:val="09AD07F3"/>
    <w:rsid w:val="09B14A34"/>
    <w:rsid w:val="0A093274"/>
    <w:rsid w:val="0A2705E1"/>
    <w:rsid w:val="0A2A6A0B"/>
    <w:rsid w:val="0A312533"/>
    <w:rsid w:val="0A3A0D5D"/>
    <w:rsid w:val="0A5056C6"/>
    <w:rsid w:val="0A5060D6"/>
    <w:rsid w:val="0A7200B0"/>
    <w:rsid w:val="0A771CA5"/>
    <w:rsid w:val="0A843B9D"/>
    <w:rsid w:val="0A8621F2"/>
    <w:rsid w:val="0A8F1F9F"/>
    <w:rsid w:val="0A9B6BF5"/>
    <w:rsid w:val="0AB329A9"/>
    <w:rsid w:val="0ACD4245"/>
    <w:rsid w:val="0B110AC0"/>
    <w:rsid w:val="0B1157EF"/>
    <w:rsid w:val="0B15007B"/>
    <w:rsid w:val="0B1765E0"/>
    <w:rsid w:val="0B1C1D7C"/>
    <w:rsid w:val="0B22066E"/>
    <w:rsid w:val="0B3F2432"/>
    <w:rsid w:val="0B4D5218"/>
    <w:rsid w:val="0B622E13"/>
    <w:rsid w:val="0B717521"/>
    <w:rsid w:val="0B892782"/>
    <w:rsid w:val="0BB2460A"/>
    <w:rsid w:val="0BC739F0"/>
    <w:rsid w:val="0BE17727"/>
    <w:rsid w:val="0BF427F9"/>
    <w:rsid w:val="0C0C632D"/>
    <w:rsid w:val="0C3C0AB0"/>
    <w:rsid w:val="0C6038EF"/>
    <w:rsid w:val="0C654C73"/>
    <w:rsid w:val="0C751214"/>
    <w:rsid w:val="0C780533"/>
    <w:rsid w:val="0C85742B"/>
    <w:rsid w:val="0C873353"/>
    <w:rsid w:val="0C8B4B61"/>
    <w:rsid w:val="0CA92BAC"/>
    <w:rsid w:val="0CB90F2E"/>
    <w:rsid w:val="0D04575D"/>
    <w:rsid w:val="0D0612B8"/>
    <w:rsid w:val="0D066A9C"/>
    <w:rsid w:val="0D0714BC"/>
    <w:rsid w:val="0D1A52C8"/>
    <w:rsid w:val="0D2767B5"/>
    <w:rsid w:val="0D5800C7"/>
    <w:rsid w:val="0D6A353C"/>
    <w:rsid w:val="0DA060E8"/>
    <w:rsid w:val="0DCE36F3"/>
    <w:rsid w:val="0DD621E4"/>
    <w:rsid w:val="0DD96BAE"/>
    <w:rsid w:val="0DDE1317"/>
    <w:rsid w:val="0E0313B1"/>
    <w:rsid w:val="0E0D1A47"/>
    <w:rsid w:val="0E3217E8"/>
    <w:rsid w:val="0E5E2B07"/>
    <w:rsid w:val="0E771E51"/>
    <w:rsid w:val="0E8118C0"/>
    <w:rsid w:val="0EB34961"/>
    <w:rsid w:val="0EC468A2"/>
    <w:rsid w:val="0ECE7C5F"/>
    <w:rsid w:val="0EE054F2"/>
    <w:rsid w:val="0EF75D05"/>
    <w:rsid w:val="0F12247A"/>
    <w:rsid w:val="0F1D0ECD"/>
    <w:rsid w:val="0F364BC2"/>
    <w:rsid w:val="0F3A630E"/>
    <w:rsid w:val="0F3B1C05"/>
    <w:rsid w:val="0F455F85"/>
    <w:rsid w:val="0F49564D"/>
    <w:rsid w:val="0F4D1918"/>
    <w:rsid w:val="0F5075AE"/>
    <w:rsid w:val="0F521719"/>
    <w:rsid w:val="0F584757"/>
    <w:rsid w:val="0F7C4621"/>
    <w:rsid w:val="0F80243B"/>
    <w:rsid w:val="0FAD0019"/>
    <w:rsid w:val="0FAD3299"/>
    <w:rsid w:val="0FB31343"/>
    <w:rsid w:val="0FC12836"/>
    <w:rsid w:val="0FD95333"/>
    <w:rsid w:val="10045EE6"/>
    <w:rsid w:val="103A7991"/>
    <w:rsid w:val="10462479"/>
    <w:rsid w:val="104B2D15"/>
    <w:rsid w:val="10674DB0"/>
    <w:rsid w:val="107374A2"/>
    <w:rsid w:val="10886883"/>
    <w:rsid w:val="108A2129"/>
    <w:rsid w:val="10924B2D"/>
    <w:rsid w:val="10953B42"/>
    <w:rsid w:val="109A454E"/>
    <w:rsid w:val="10CC5735"/>
    <w:rsid w:val="10FA45D2"/>
    <w:rsid w:val="11024527"/>
    <w:rsid w:val="110A4489"/>
    <w:rsid w:val="111A28E5"/>
    <w:rsid w:val="112F54D2"/>
    <w:rsid w:val="1133321C"/>
    <w:rsid w:val="11576536"/>
    <w:rsid w:val="117824F0"/>
    <w:rsid w:val="117E2370"/>
    <w:rsid w:val="11B66269"/>
    <w:rsid w:val="11BA0839"/>
    <w:rsid w:val="11F267E8"/>
    <w:rsid w:val="1210456D"/>
    <w:rsid w:val="121729B6"/>
    <w:rsid w:val="12216DED"/>
    <w:rsid w:val="122C6138"/>
    <w:rsid w:val="125A02CC"/>
    <w:rsid w:val="12845278"/>
    <w:rsid w:val="128E70AD"/>
    <w:rsid w:val="12B1068C"/>
    <w:rsid w:val="12C1665B"/>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E55AA9"/>
    <w:rsid w:val="144C6544"/>
    <w:rsid w:val="14812D74"/>
    <w:rsid w:val="14836C15"/>
    <w:rsid w:val="14862300"/>
    <w:rsid w:val="14A82A63"/>
    <w:rsid w:val="14AC358C"/>
    <w:rsid w:val="14B76730"/>
    <w:rsid w:val="14DE753E"/>
    <w:rsid w:val="150C4561"/>
    <w:rsid w:val="151B0462"/>
    <w:rsid w:val="151C45D8"/>
    <w:rsid w:val="15290336"/>
    <w:rsid w:val="155B1745"/>
    <w:rsid w:val="155F651D"/>
    <w:rsid w:val="15655F19"/>
    <w:rsid w:val="157348EB"/>
    <w:rsid w:val="15787FE5"/>
    <w:rsid w:val="157E21FE"/>
    <w:rsid w:val="15A40933"/>
    <w:rsid w:val="15AA7A19"/>
    <w:rsid w:val="15AC5259"/>
    <w:rsid w:val="15B06B12"/>
    <w:rsid w:val="15BD2869"/>
    <w:rsid w:val="15BE3D9D"/>
    <w:rsid w:val="15D4474D"/>
    <w:rsid w:val="15D7597F"/>
    <w:rsid w:val="161C3234"/>
    <w:rsid w:val="1641433F"/>
    <w:rsid w:val="165C4863"/>
    <w:rsid w:val="1663476A"/>
    <w:rsid w:val="166C0D1B"/>
    <w:rsid w:val="167344C7"/>
    <w:rsid w:val="16794785"/>
    <w:rsid w:val="16A65B92"/>
    <w:rsid w:val="16AD0A57"/>
    <w:rsid w:val="16BA18A0"/>
    <w:rsid w:val="16C41FCF"/>
    <w:rsid w:val="16E7220A"/>
    <w:rsid w:val="170133DA"/>
    <w:rsid w:val="170259E1"/>
    <w:rsid w:val="170353FD"/>
    <w:rsid w:val="171053FC"/>
    <w:rsid w:val="17382580"/>
    <w:rsid w:val="175E4288"/>
    <w:rsid w:val="17844C56"/>
    <w:rsid w:val="17A30F12"/>
    <w:rsid w:val="17BA48D6"/>
    <w:rsid w:val="17D77CA7"/>
    <w:rsid w:val="17DD34AB"/>
    <w:rsid w:val="17FE0B0A"/>
    <w:rsid w:val="17FE0C9F"/>
    <w:rsid w:val="17FF3C9D"/>
    <w:rsid w:val="18235E85"/>
    <w:rsid w:val="187640ED"/>
    <w:rsid w:val="18804AA7"/>
    <w:rsid w:val="18A16B9A"/>
    <w:rsid w:val="18B417E1"/>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396AAB"/>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807142"/>
    <w:rsid w:val="1C9A166E"/>
    <w:rsid w:val="1CB702E9"/>
    <w:rsid w:val="1CBE5026"/>
    <w:rsid w:val="1CF333A5"/>
    <w:rsid w:val="1D0B731D"/>
    <w:rsid w:val="1D2054C4"/>
    <w:rsid w:val="1D563E2F"/>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35BDE"/>
    <w:rsid w:val="20E9348D"/>
    <w:rsid w:val="20F667B9"/>
    <w:rsid w:val="210D2CDA"/>
    <w:rsid w:val="212F6A59"/>
    <w:rsid w:val="21306305"/>
    <w:rsid w:val="213D54AD"/>
    <w:rsid w:val="214169BB"/>
    <w:rsid w:val="217C7971"/>
    <w:rsid w:val="217D44BC"/>
    <w:rsid w:val="21997056"/>
    <w:rsid w:val="219D3F2A"/>
    <w:rsid w:val="21AB77F7"/>
    <w:rsid w:val="21BF03BC"/>
    <w:rsid w:val="21D06D34"/>
    <w:rsid w:val="21D52CEC"/>
    <w:rsid w:val="21DC2617"/>
    <w:rsid w:val="2209399D"/>
    <w:rsid w:val="22101F8E"/>
    <w:rsid w:val="2225227E"/>
    <w:rsid w:val="224E74D0"/>
    <w:rsid w:val="228A008B"/>
    <w:rsid w:val="229A7E25"/>
    <w:rsid w:val="22B059F5"/>
    <w:rsid w:val="22BD504B"/>
    <w:rsid w:val="22D61781"/>
    <w:rsid w:val="22F017B2"/>
    <w:rsid w:val="230B07F6"/>
    <w:rsid w:val="23143B37"/>
    <w:rsid w:val="231637F9"/>
    <w:rsid w:val="23230E78"/>
    <w:rsid w:val="233027B0"/>
    <w:rsid w:val="23415924"/>
    <w:rsid w:val="235924CA"/>
    <w:rsid w:val="237B7D6C"/>
    <w:rsid w:val="238755B6"/>
    <w:rsid w:val="239130F2"/>
    <w:rsid w:val="23924FC7"/>
    <w:rsid w:val="239B728F"/>
    <w:rsid w:val="23BD6F6C"/>
    <w:rsid w:val="23C80F4A"/>
    <w:rsid w:val="23D33566"/>
    <w:rsid w:val="23D9762E"/>
    <w:rsid w:val="24137B5B"/>
    <w:rsid w:val="24176341"/>
    <w:rsid w:val="24211333"/>
    <w:rsid w:val="242461D7"/>
    <w:rsid w:val="242C04D9"/>
    <w:rsid w:val="242E2FF6"/>
    <w:rsid w:val="242E7ECB"/>
    <w:rsid w:val="24402A43"/>
    <w:rsid w:val="244F2484"/>
    <w:rsid w:val="24574CEB"/>
    <w:rsid w:val="245D41D2"/>
    <w:rsid w:val="24667266"/>
    <w:rsid w:val="24731A96"/>
    <w:rsid w:val="247A5C3A"/>
    <w:rsid w:val="248907B2"/>
    <w:rsid w:val="24977DF6"/>
    <w:rsid w:val="249A5E20"/>
    <w:rsid w:val="249C2676"/>
    <w:rsid w:val="249C6208"/>
    <w:rsid w:val="24BD38BA"/>
    <w:rsid w:val="252053F9"/>
    <w:rsid w:val="25467DBB"/>
    <w:rsid w:val="25473E3C"/>
    <w:rsid w:val="256343AC"/>
    <w:rsid w:val="257F18B5"/>
    <w:rsid w:val="25805FF5"/>
    <w:rsid w:val="258F15BB"/>
    <w:rsid w:val="259231BD"/>
    <w:rsid w:val="25A77DD4"/>
    <w:rsid w:val="260B255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81BAB"/>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9007B1"/>
    <w:rsid w:val="28AD2029"/>
    <w:rsid w:val="28DB0A30"/>
    <w:rsid w:val="28F95F71"/>
    <w:rsid w:val="29037CEF"/>
    <w:rsid w:val="291712DF"/>
    <w:rsid w:val="29192BE8"/>
    <w:rsid w:val="292A375F"/>
    <w:rsid w:val="29316984"/>
    <w:rsid w:val="2938092A"/>
    <w:rsid w:val="293966D9"/>
    <w:rsid w:val="2946144E"/>
    <w:rsid w:val="294A5BC8"/>
    <w:rsid w:val="29981CF5"/>
    <w:rsid w:val="29A4634A"/>
    <w:rsid w:val="29A84DD1"/>
    <w:rsid w:val="29CD2270"/>
    <w:rsid w:val="29DF647B"/>
    <w:rsid w:val="29EB2636"/>
    <w:rsid w:val="29F26903"/>
    <w:rsid w:val="2A3B063B"/>
    <w:rsid w:val="2A49761F"/>
    <w:rsid w:val="2A630308"/>
    <w:rsid w:val="2A676AD0"/>
    <w:rsid w:val="2A687AA6"/>
    <w:rsid w:val="2A6A3C70"/>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514C6"/>
    <w:rsid w:val="2C5C2032"/>
    <w:rsid w:val="2C72088D"/>
    <w:rsid w:val="2C7D6665"/>
    <w:rsid w:val="2C865A05"/>
    <w:rsid w:val="2C8B0557"/>
    <w:rsid w:val="2CBC4209"/>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477AC7"/>
    <w:rsid w:val="2E6B2779"/>
    <w:rsid w:val="2E705752"/>
    <w:rsid w:val="2E84531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F117AD"/>
    <w:rsid w:val="2FF95633"/>
    <w:rsid w:val="300F7F13"/>
    <w:rsid w:val="301E3C00"/>
    <w:rsid w:val="30500A5C"/>
    <w:rsid w:val="30752E77"/>
    <w:rsid w:val="3090288F"/>
    <w:rsid w:val="309B0CFB"/>
    <w:rsid w:val="309E4272"/>
    <w:rsid w:val="30DC45E8"/>
    <w:rsid w:val="30DD6027"/>
    <w:rsid w:val="30DE16AB"/>
    <w:rsid w:val="30F44A95"/>
    <w:rsid w:val="30FA21D8"/>
    <w:rsid w:val="311D5B14"/>
    <w:rsid w:val="3153529A"/>
    <w:rsid w:val="31647576"/>
    <w:rsid w:val="31665E5D"/>
    <w:rsid w:val="316D6950"/>
    <w:rsid w:val="31822EAF"/>
    <w:rsid w:val="31A53A0B"/>
    <w:rsid w:val="31B23BA8"/>
    <w:rsid w:val="31CA5CF8"/>
    <w:rsid w:val="31CB26CD"/>
    <w:rsid w:val="31D06A52"/>
    <w:rsid w:val="31F20023"/>
    <w:rsid w:val="31FB60C5"/>
    <w:rsid w:val="32226597"/>
    <w:rsid w:val="324968A9"/>
    <w:rsid w:val="32702642"/>
    <w:rsid w:val="327E6AD8"/>
    <w:rsid w:val="32946A84"/>
    <w:rsid w:val="32BC6631"/>
    <w:rsid w:val="32D14A7F"/>
    <w:rsid w:val="32DC2120"/>
    <w:rsid w:val="32F86450"/>
    <w:rsid w:val="330244A4"/>
    <w:rsid w:val="331C390F"/>
    <w:rsid w:val="33610DDA"/>
    <w:rsid w:val="33767D1F"/>
    <w:rsid w:val="337F446B"/>
    <w:rsid w:val="338329F8"/>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744059"/>
    <w:rsid w:val="35771AC2"/>
    <w:rsid w:val="357960B4"/>
    <w:rsid w:val="35A0338E"/>
    <w:rsid w:val="35A31A0A"/>
    <w:rsid w:val="35AB5D7D"/>
    <w:rsid w:val="35C154C0"/>
    <w:rsid w:val="35C7584B"/>
    <w:rsid w:val="35DD2AEE"/>
    <w:rsid w:val="35EA6509"/>
    <w:rsid w:val="35F44E5C"/>
    <w:rsid w:val="35F45994"/>
    <w:rsid w:val="3602050E"/>
    <w:rsid w:val="360E00A6"/>
    <w:rsid w:val="36101A49"/>
    <w:rsid w:val="36265F04"/>
    <w:rsid w:val="363F4D43"/>
    <w:rsid w:val="36627C0A"/>
    <w:rsid w:val="36693B36"/>
    <w:rsid w:val="366B0AAA"/>
    <w:rsid w:val="36752210"/>
    <w:rsid w:val="36922B55"/>
    <w:rsid w:val="36991125"/>
    <w:rsid w:val="36B121C7"/>
    <w:rsid w:val="36D27C18"/>
    <w:rsid w:val="36D512A9"/>
    <w:rsid w:val="36F414F3"/>
    <w:rsid w:val="370439A7"/>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146EDF"/>
    <w:rsid w:val="382150C9"/>
    <w:rsid w:val="38284CDE"/>
    <w:rsid w:val="382F19E6"/>
    <w:rsid w:val="383B2EED"/>
    <w:rsid w:val="384C2D57"/>
    <w:rsid w:val="38564480"/>
    <w:rsid w:val="386A1921"/>
    <w:rsid w:val="38894DA5"/>
    <w:rsid w:val="38981AB5"/>
    <w:rsid w:val="38A40C18"/>
    <w:rsid w:val="38AB306B"/>
    <w:rsid w:val="38BF2270"/>
    <w:rsid w:val="38C33701"/>
    <w:rsid w:val="38C43916"/>
    <w:rsid w:val="38D504F4"/>
    <w:rsid w:val="38D95A84"/>
    <w:rsid w:val="38E11AA1"/>
    <w:rsid w:val="38E46191"/>
    <w:rsid w:val="38F50C85"/>
    <w:rsid w:val="393544DD"/>
    <w:rsid w:val="393962EC"/>
    <w:rsid w:val="394935B8"/>
    <w:rsid w:val="394C557A"/>
    <w:rsid w:val="3952190F"/>
    <w:rsid w:val="395753F2"/>
    <w:rsid w:val="39834074"/>
    <w:rsid w:val="39885108"/>
    <w:rsid w:val="399602F5"/>
    <w:rsid w:val="399B5B0D"/>
    <w:rsid w:val="39BB78F7"/>
    <w:rsid w:val="39C46549"/>
    <w:rsid w:val="39CA1A60"/>
    <w:rsid w:val="39D3749A"/>
    <w:rsid w:val="39DD49C2"/>
    <w:rsid w:val="39DD4ACE"/>
    <w:rsid w:val="39EC7454"/>
    <w:rsid w:val="3A796E46"/>
    <w:rsid w:val="3A830E37"/>
    <w:rsid w:val="3A9A224E"/>
    <w:rsid w:val="3A9D2551"/>
    <w:rsid w:val="3AA97F70"/>
    <w:rsid w:val="3ABF42F5"/>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D71E34"/>
    <w:rsid w:val="3CE54B9F"/>
    <w:rsid w:val="3D207D41"/>
    <w:rsid w:val="3D272F24"/>
    <w:rsid w:val="3D58163A"/>
    <w:rsid w:val="3D5A05E2"/>
    <w:rsid w:val="3D5C63D4"/>
    <w:rsid w:val="3D7618FA"/>
    <w:rsid w:val="3D791797"/>
    <w:rsid w:val="3D8522AA"/>
    <w:rsid w:val="3D9A0655"/>
    <w:rsid w:val="3D9F790C"/>
    <w:rsid w:val="3DE548AC"/>
    <w:rsid w:val="3DE653F8"/>
    <w:rsid w:val="3DE72673"/>
    <w:rsid w:val="3DEB1255"/>
    <w:rsid w:val="3E0F25EA"/>
    <w:rsid w:val="3E146F59"/>
    <w:rsid w:val="3E237BCC"/>
    <w:rsid w:val="3E3419DC"/>
    <w:rsid w:val="3E623E46"/>
    <w:rsid w:val="3E74144D"/>
    <w:rsid w:val="3E7A1C88"/>
    <w:rsid w:val="3E8B095A"/>
    <w:rsid w:val="3E8E6C82"/>
    <w:rsid w:val="3E943FDD"/>
    <w:rsid w:val="3EAC3BDD"/>
    <w:rsid w:val="3EB767A1"/>
    <w:rsid w:val="3ECF0F50"/>
    <w:rsid w:val="3ECF234A"/>
    <w:rsid w:val="3ED671CD"/>
    <w:rsid w:val="3EE14A57"/>
    <w:rsid w:val="3EE21263"/>
    <w:rsid w:val="3F144192"/>
    <w:rsid w:val="3F952814"/>
    <w:rsid w:val="3FA41C63"/>
    <w:rsid w:val="3FAB3D87"/>
    <w:rsid w:val="3FAB41A2"/>
    <w:rsid w:val="3FAE47F6"/>
    <w:rsid w:val="3FC64203"/>
    <w:rsid w:val="3FF159CB"/>
    <w:rsid w:val="400A1CFC"/>
    <w:rsid w:val="40400533"/>
    <w:rsid w:val="406D461C"/>
    <w:rsid w:val="406F7D87"/>
    <w:rsid w:val="40825FDB"/>
    <w:rsid w:val="40907287"/>
    <w:rsid w:val="40BD153A"/>
    <w:rsid w:val="40CD7BD8"/>
    <w:rsid w:val="40D07371"/>
    <w:rsid w:val="40F1013C"/>
    <w:rsid w:val="412506DF"/>
    <w:rsid w:val="412D74FB"/>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D67001"/>
    <w:rsid w:val="42E06A10"/>
    <w:rsid w:val="43112BE5"/>
    <w:rsid w:val="431B56C6"/>
    <w:rsid w:val="432E5E21"/>
    <w:rsid w:val="433D2335"/>
    <w:rsid w:val="436A2192"/>
    <w:rsid w:val="439C3431"/>
    <w:rsid w:val="439D0E7C"/>
    <w:rsid w:val="43B31322"/>
    <w:rsid w:val="43D67A91"/>
    <w:rsid w:val="43E21F58"/>
    <w:rsid w:val="43F76F69"/>
    <w:rsid w:val="43FC0DB2"/>
    <w:rsid w:val="44584267"/>
    <w:rsid w:val="447B4A66"/>
    <w:rsid w:val="447D4136"/>
    <w:rsid w:val="448B5845"/>
    <w:rsid w:val="44B5206D"/>
    <w:rsid w:val="44B53006"/>
    <w:rsid w:val="44C87C0F"/>
    <w:rsid w:val="44DF6F1B"/>
    <w:rsid w:val="454E4F75"/>
    <w:rsid w:val="454E6B7A"/>
    <w:rsid w:val="45625648"/>
    <w:rsid w:val="457736FF"/>
    <w:rsid w:val="45790DCE"/>
    <w:rsid w:val="458B757C"/>
    <w:rsid w:val="45917B8A"/>
    <w:rsid w:val="45E826B2"/>
    <w:rsid w:val="45F4334C"/>
    <w:rsid w:val="46024744"/>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457188"/>
    <w:rsid w:val="47666951"/>
    <w:rsid w:val="47683159"/>
    <w:rsid w:val="479D7800"/>
    <w:rsid w:val="47DD6A91"/>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35171C"/>
    <w:rsid w:val="495C3370"/>
    <w:rsid w:val="496409A2"/>
    <w:rsid w:val="49707759"/>
    <w:rsid w:val="49927DFC"/>
    <w:rsid w:val="4995554E"/>
    <w:rsid w:val="499B3646"/>
    <w:rsid w:val="499C3504"/>
    <w:rsid w:val="49A43EE6"/>
    <w:rsid w:val="49B62CB9"/>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C4256B"/>
    <w:rsid w:val="4AD162A8"/>
    <w:rsid w:val="4AD768C6"/>
    <w:rsid w:val="4AF902F5"/>
    <w:rsid w:val="4AF94D42"/>
    <w:rsid w:val="4B045B9A"/>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A7197"/>
    <w:rsid w:val="4C5F0B5D"/>
    <w:rsid w:val="4C642E6C"/>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B139BD"/>
    <w:rsid w:val="50BD1498"/>
    <w:rsid w:val="50BE1B1D"/>
    <w:rsid w:val="50C51F05"/>
    <w:rsid w:val="50D228CF"/>
    <w:rsid w:val="50E63519"/>
    <w:rsid w:val="50ED76FB"/>
    <w:rsid w:val="510649BC"/>
    <w:rsid w:val="51187610"/>
    <w:rsid w:val="51375EB3"/>
    <w:rsid w:val="513853CC"/>
    <w:rsid w:val="514C1E16"/>
    <w:rsid w:val="515C30A6"/>
    <w:rsid w:val="517F00BC"/>
    <w:rsid w:val="519D2F03"/>
    <w:rsid w:val="51BE2EAE"/>
    <w:rsid w:val="51DA5890"/>
    <w:rsid w:val="51F96848"/>
    <w:rsid w:val="52073487"/>
    <w:rsid w:val="521C5D43"/>
    <w:rsid w:val="521D7ED7"/>
    <w:rsid w:val="5239194F"/>
    <w:rsid w:val="52612620"/>
    <w:rsid w:val="52790FD9"/>
    <w:rsid w:val="528C5E23"/>
    <w:rsid w:val="529F0D9B"/>
    <w:rsid w:val="52CF0A4A"/>
    <w:rsid w:val="52DD5B35"/>
    <w:rsid w:val="52FC1C88"/>
    <w:rsid w:val="53155215"/>
    <w:rsid w:val="531621BA"/>
    <w:rsid w:val="531D0F10"/>
    <w:rsid w:val="53394CE7"/>
    <w:rsid w:val="534246C3"/>
    <w:rsid w:val="53495ACD"/>
    <w:rsid w:val="5366542B"/>
    <w:rsid w:val="536D41AE"/>
    <w:rsid w:val="53794E20"/>
    <w:rsid w:val="537E3D96"/>
    <w:rsid w:val="537F7A49"/>
    <w:rsid w:val="5391597D"/>
    <w:rsid w:val="53947DE7"/>
    <w:rsid w:val="53A27D95"/>
    <w:rsid w:val="53A911A1"/>
    <w:rsid w:val="53E07B00"/>
    <w:rsid w:val="54002BFD"/>
    <w:rsid w:val="542F7A60"/>
    <w:rsid w:val="54550067"/>
    <w:rsid w:val="54580F5A"/>
    <w:rsid w:val="5478695B"/>
    <w:rsid w:val="548810E8"/>
    <w:rsid w:val="549C6534"/>
    <w:rsid w:val="54B62C99"/>
    <w:rsid w:val="54DF688B"/>
    <w:rsid w:val="550E6C32"/>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8443B"/>
    <w:rsid w:val="58BC4002"/>
    <w:rsid w:val="59267EF0"/>
    <w:rsid w:val="593808D1"/>
    <w:rsid w:val="59421F7E"/>
    <w:rsid w:val="594935F2"/>
    <w:rsid w:val="595C0946"/>
    <w:rsid w:val="59642A7A"/>
    <w:rsid w:val="596D32B4"/>
    <w:rsid w:val="599148CE"/>
    <w:rsid w:val="59A24ED6"/>
    <w:rsid w:val="59B6531E"/>
    <w:rsid w:val="59B75E8A"/>
    <w:rsid w:val="59BC0F73"/>
    <w:rsid w:val="59BD2911"/>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A8262F"/>
    <w:rsid w:val="5AB96041"/>
    <w:rsid w:val="5ABC6BFA"/>
    <w:rsid w:val="5AD510F0"/>
    <w:rsid w:val="5AF82FCA"/>
    <w:rsid w:val="5B187495"/>
    <w:rsid w:val="5B1B10FA"/>
    <w:rsid w:val="5B2445B5"/>
    <w:rsid w:val="5B492D29"/>
    <w:rsid w:val="5B627DC7"/>
    <w:rsid w:val="5B6C5737"/>
    <w:rsid w:val="5B896F76"/>
    <w:rsid w:val="5B9C0984"/>
    <w:rsid w:val="5BB60638"/>
    <w:rsid w:val="5BE23D1E"/>
    <w:rsid w:val="5BE24CD9"/>
    <w:rsid w:val="5BE50680"/>
    <w:rsid w:val="5BE52EE1"/>
    <w:rsid w:val="5BEA2231"/>
    <w:rsid w:val="5BFD4032"/>
    <w:rsid w:val="5C1832F4"/>
    <w:rsid w:val="5C1A3044"/>
    <w:rsid w:val="5C5E033F"/>
    <w:rsid w:val="5C6875EE"/>
    <w:rsid w:val="5CC43404"/>
    <w:rsid w:val="5CC93DAE"/>
    <w:rsid w:val="5CD31EE3"/>
    <w:rsid w:val="5D2B5629"/>
    <w:rsid w:val="5D473075"/>
    <w:rsid w:val="5D5864DB"/>
    <w:rsid w:val="5D73393B"/>
    <w:rsid w:val="5D784379"/>
    <w:rsid w:val="5D7B3457"/>
    <w:rsid w:val="5D800197"/>
    <w:rsid w:val="5D8B2715"/>
    <w:rsid w:val="5D915AFD"/>
    <w:rsid w:val="5E00720B"/>
    <w:rsid w:val="5E012896"/>
    <w:rsid w:val="5E0A6049"/>
    <w:rsid w:val="5E156B70"/>
    <w:rsid w:val="5E226508"/>
    <w:rsid w:val="5E5F0687"/>
    <w:rsid w:val="5E783202"/>
    <w:rsid w:val="5E7842EE"/>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23747"/>
    <w:rsid w:val="61963257"/>
    <w:rsid w:val="619C38B4"/>
    <w:rsid w:val="61A4486B"/>
    <w:rsid w:val="61AC408F"/>
    <w:rsid w:val="61BC23E5"/>
    <w:rsid w:val="61D21120"/>
    <w:rsid w:val="61F3667F"/>
    <w:rsid w:val="62185165"/>
    <w:rsid w:val="62460FCD"/>
    <w:rsid w:val="62480FF0"/>
    <w:rsid w:val="624B14C1"/>
    <w:rsid w:val="62630C6B"/>
    <w:rsid w:val="627301E8"/>
    <w:rsid w:val="6295194F"/>
    <w:rsid w:val="62BA3B2B"/>
    <w:rsid w:val="62BB392A"/>
    <w:rsid w:val="62C37511"/>
    <w:rsid w:val="62C638C8"/>
    <w:rsid w:val="62D11C3F"/>
    <w:rsid w:val="62E157FC"/>
    <w:rsid w:val="62E81148"/>
    <w:rsid w:val="62F76986"/>
    <w:rsid w:val="632B5BFC"/>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1819E8"/>
    <w:rsid w:val="643F3FFC"/>
    <w:rsid w:val="64706C6F"/>
    <w:rsid w:val="649A6134"/>
    <w:rsid w:val="649D2569"/>
    <w:rsid w:val="64A51362"/>
    <w:rsid w:val="64A55A03"/>
    <w:rsid w:val="64B453B1"/>
    <w:rsid w:val="64D91978"/>
    <w:rsid w:val="651A5C6A"/>
    <w:rsid w:val="6522790C"/>
    <w:rsid w:val="65403733"/>
    <w:rsid w:val="655754CB"/>
    <w:rsid w:val="655E2D72"/>
    <w:rsid w:val="65833C4F"/>
    <w:rsid w:val="658B37B6"/>
    <w:rsid w:val="659C17EE"/>
    <w:rsid w:val="65D70270"/>
    <w:rsid w:val="66032E7B"/>
    <w:rsid w:val="661026AA"/>
    <w:rsid w:val="663D054E"/>
    <w:rsid w:val="6679372B"/>
    <w:rsid w:val="66980BF6"/>
    <w:rsid w:val="66B81454"/>
    <w:rsid w:val="66BE1292"/>
    <w:rsid w:val="66BF76F1"/>
    <w:rsid w:val="66DC5BF8"/>
    <w:rsid w:val="66E173F9"/>
    <w:rsid w:val="66E3226C"/>
    <w:rsid w:val="66EC5E36"/>
    <w:rsid w:val="66F36078"/>
    <w:rsid w:val="67181932"/>
    <w:rsid w:val="672A4901"/>
    <w:rsid w:val="67441B08"/>
    <w:rsid w:val="67513E69"/>
    <w:rsid w:val="675A17FE"/>
    <w:rsid w:val="678A44B2"/>
    <w:rsid w:val="678C1D52"/>
    <w:rsid w:val="67AB20E4"/>
    <w:rsid w:val="67C149C0"/>
    <w:rsid w:val="67C7427D"/>
    <w:rsid w:val="67CA7967"/>
    <w:rsid w:val="67CC38C5"/>
    <w:rsid w:val="67D9695E"/>
    <w:rsid w:val="67DC5CEA"/>
    <w:rsid w:val="67DF18A0"/>
    <w:rsid w:val="67F57A70"/>
    <w:rsid w:val="680965F8"/>
    <w:rsid w:val="68240EAA"/>
    <w:rsid w:val="6850356A"/>
    <w:rsid w:val="685465AC"/>
    <w:rsid w:val="687442EE"/>
    <w:rsid w:val="689B3E14"/>
    <w:rsid w:val="689C5C1D"/>
    <w:rsid w:val="689F2FA0"/>
    <w:rsid w:val="68AD26AA"/>
    <w:rsid w:val="68BC14B0"/>
    <w:rsid w:val="68C20D16"/>
    <w:rsid w:val="68DD619B"/>
    <w:rsid w:val="68FD5593"/>
    <w:rsid w:val="691B307E"/>
    <w:rsid w:val="6934218F"/>
    <w:rsid w:val="693C5AA5"/>
    <w:rsid w:val="693E13B7"/>
    <w:rsid w:val="694271ED"/>
    <w:rsid w:val="6951205B"/>
    <w:rsid w:val="6953741D"/>
    <w:rsid w:val="69731101"/>
    <w:rsid w:val="697D087B"/>
    <w:rsid w:val="699106B7"/>
    <w:rsid w:val="69A7770D"/>
    <w:rsid w:val="69AC0B64"/>
    <w:rsid w:val="69B27C94"/>
    <w:rsid w:val="69BA2288"/>
    <w:rsid w:val="69BB39FE"/>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C14B2"/>
    <w:rsid w:val="6D436625"/>
    <w:rsid w:val="6D456DCA"/>
    <w:rsid w:val="6D5E64E8"/>
    <w:rsid w:val="6D652ED0"/>
    <w:rsid w:val="6D662717"/>
    <w:rsid w:val="6D663299"/>
    <w:rsid w:val="6DA71839"/>
    <w:rsid w:val="6DB20233"/>
    <w:rsid w:val="6E0F320E"/>
    <w:rsid w:val="6E1B4CD0"/>
    <w:rsid w:val="6E376A3A"/>
    <w:rsid w:val="6E3F1C0F"/>
    <w:rsid w:val="6E633CB5"/>
    <w:rsid w:val="6E72570E"/>
    <w:rsid w:val="6EAB29FB"/>
    <w:rsid w:val="6EB32B7F"/>
    <w:rsid w:val="6EB46F18"/>
    <w:rsid w:val="6EBD4DFF"/>
    <w:rsid w:val="6EC73357"/>
    <w:rsid w:val="6EE81AF0"/>
    <w:rsid w:val="6EE939F2"/>
    <w:rsid w:val="6F021829"/>
    <w:rsid w:val="6F28474F"/>
    <w:rsid w:val="6F384951"/>
    <w:rsid w:val="6F607895"/>
    <w:rsid w:val="6F61040C"/>
    <w:rsid w:val="6F6776E1"/>
    <w:rsid w:val="6F7E1B78"/>
    <w:rsid w:val="6F9C5D71"/>
    <w:rsid w:val="6FA3781E"/>
    <w:rsid w:val="6FE53444"/>
    <w:rsid w:val="6FF1528E"/>
    <w:rsid w:val="700C0460"/>
    <w:rsid w:val="70170F2B"/>
    <w:rsid w:val="701E2FAB"/>
    <w:rsid w:val="702056D6"/>
    <w:rsid w:val="70387A8F"/>
    <w:rsid w:val="70767F2C"/>
    <w:rsid w:val="707E62BB"/>
    <w:rsid w:val="709E640C"/>
    <w:rsid w:val="70B56633"/>
    <w:rsid w:val="70BB0D3E"/>
    <w:rsid w:val="70CF3906"/>
    <w:rsid w:val="70D91094"/>
    <w:rsid w:val="70DB76EF"/>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31C28E7"/>
    <w:rsid w:val="732A4A9B"/>
    <w:rsid w:val="73343997"/>
    <w:rsid w:val="73370B0A"/>
    <w:rsid w:val="733C723A"/>
    <w:rsid w:val="733C7C6A"/>
    <w:rsid w:val="73674568"/>
    <w:rsid w:val="73690216"/>
    <w:rsid w:val="736A02D8"/>
    <w:rsid w:val="739B1EFF"/>
    <w:rsid w:val="73A16D22"/>
    <w:rsid w:val="73B1400F"/>
    <w:rsid w:val="73BA064C"/>
    <w:rsid w:val="73BB3C6E"/>
    <w:rsid w:val="73CE1997"/>
    <w:rsid w:val="73EC7C9D"/>
    <w:rsid w:val="741076D1"/>
    <w:rsid w:val="74215D04"/>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600209C"/>
    <w:rsid w:val="760049B0"/>
    <w:rsid w:val="76070A73"/>
    <w:rsid w:val="763B42FB"/>
    <w:rsid w:val="763F1F92"/>
    <w:rsid w:val="76424474"/>
    <w:rsid w:val="76452780"/>
    <w:rsid w:val="76690632"/>
    <w:rsid w:val="767469E2"/>
    <w:rsid w:val="76756B3F"/>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49BD"/>
    <w:rsid w:val="77966F4C"/>
    <w:rsid w:val="77A75021"/>
    <w:rsid w:val="77B4796D"/>
    <w:rsid w:val="77B8689C"/>
    <w:rsid w:val="77C2510C"/>
    <w:rsid w:val="77C833A2"/>
    <w:rsid w:val="78036043"/>
    <w:rsid w:val="781838FF"/>
    <w:rsid w:val="781B3886"/>
    <w:rsid w:val="78375EBD"/>
    <w:rsid w:val="7888219B"/>
    <w:rsid w:val="788908C8"/>
    <w:rsid w:val="78B4579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CD2D7F"/>
    <w:rsid w:val="7AD27B42"/>
    <w:rsid w:val="7AEF4C06"/>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0C91"/>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464FC"/>
    <w:rsid w:val="7E006A11"/>
    <w:rsid w:val="7E1C55F3"/>
    <w:rsid w:val="7E347694"/>
    <w:rsid w:val="7E3B5911"/>
    <w:rsid w:val="7E495416"/>
    <w:rsid w:val="7E497873"/>
    <w:rsid w:val="7E750E81"/>
    <w:rsid w:val="7E9044A6"/>
    <w:rsid w:val="7E922E52"/>
    <w:rsid w:val="7EA87297"/>
    <w:rsid w:val="7EC57DB4"/>
    <w:rsid w:val="7EC64829"/>
    <w:rsid w:val="7ED55364"/>
    <w:rsid w:val="7ED61FF8"/>
    <w:rsid w:val="7EDE52DA"/>
    <w:rsid w:val="7EEC4A0C"/>
    <w:rsid w:val="7EEF5C7E"/>
    <w:rsid w:val="7F085E6E"/>
    <w:rsid w:val="7F090A0E"/>
    <w:rsid w:val="7F0C0396"/>
    <w:rsid w:val="7F160CCE"/>
    <w:rsid w:val="7F18438A"/>
    <w:rsid w:val="7F4D1825"/>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2"/>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58"/>
    <w:qFormat/>
    <w:uiPriority w:val="0"/>
    <w:pPr>
      <w:spacing w:before="120"/>
      <w:outlineLvl w:val="2"/>
    </w:pPr>
    <w:rPr>
      <w:sz w:val="28"/>
    </w:rPr>
  </w:style>
  <w:style w:type="paragraph" w:styleId="5">
    <w:name w:val="heading 4"/>
    <w:basedOn w:val="4"/>
    <w:next w:val="1"/>
    <w:link w:val="7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52"/>
    <w:qFormat/>
    <w:uiPriority w:val="0"/>
    <w:pPr>
      <w:tabs>
        <w:tab w:val="left" w:pos="2144"/>
        <w:tab w:val="clear" w:pos="2000"/>
      </w:tabs>
      <w:ind w:left="2144" w:hanging="1008"/>
      <w:outlineLvl w:val="4"/>
    </w:pPr>
    <w:rPr>
      <w:sz w:val="22"/>
    </w:rPr>
  </w:style>
  <w:style w:type="paragraph" w:styleId="7">
    <w:name w:val="heading 6"/>
    <w:basedOn w:val="1"/>
    <w:next w:val="1"/>
    <w:link w:val="61"/>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5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69"/>
    <w:unhideWhenUsed/>
    <w:uiPriority w:val="99"/>
    <w:rPr>
      <w:b/>
      <w:bCs/>
    </w:rPr>
  </w:style>
  <w:style w:type="paragraph" w:styleId="12">
    <w:name w:val="annotation text"/>
    <w:basedOn w:val="1"/>
    <w:link w:val="68"/>
    <w:unhideWhenUsed/>
    <w:uiPriority w:val="99"/>
    <w:rPr>
      <w:sz w:val="20"/>
      <w:szCs w:val="20"/>
    </w:rPr>
  </w:style>
  <w:style w:type="paragraph" w:styleId="13">
    <w:name w:val="caption"/>
    <w:basedOn w:val="1"/>
    <w:next w:val="1"/>
    <w:link w:val="64"/>
    <w:qFormat/>
    <w:uiPriority w:val="0"/>
    <w:pPr>
      <w:widowControl/>
      <w:spacing w:before="152" w:after="160"/>
    </w:pPr>
    <w:rPr>
      <w:rFonts w:ascii="Arial" w:hAnsi="Arial" w:eastAsia="黑体"/>
      <w:kern w:val="0"/>
      <w:sz w:val="20"/>
      <w:szCs w:val="20"/>
    </w:rPr>
  </w:style>
  <w:style w:type="paragraph" w:styleId="14">
    <w:name w:val="Document Map"/>
    <w:basedOn w:val="1"/>
    <w:link w:val="54"/>
    <w:unhideWhenUsed/>
    <w:uiPriority w:val="99"/>
    <w:rPr>
      <w:rFonts w:ascii="宋体"/>
      <w:kern w:val="0"/>
      <w:sz w:val="18"/>
      <w:szCs w:val="18"/>
    </w:rPr>
  </w:style>
  <w:style w:type="paragraph" w:styleId="15">
    <w:name w:val="Body Text"/>
    <w:basedOn w:val="1"/>
    <w:link w:val="57"/>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3"/>
    <w:unhideWhenUsed/>
    <w:uiPriority w:val="99"/>
    <w:rPr>
      <w:sz w:val="18"/>
      <w:szCs w:val="18"/>
    </w:rPr>
  </w:style>
  <w:style w:type="paragraph" w:styleId="17">
    <w:name w:val="footer"/>
    <w:basedOn w:val="18"/>
    <w:link w:val="74"/>
    <w:unhideWhenUsed/>
    <w:uiPriority w:val="99"/>
    <w:pPr>
      <w:tabs>
        <w:tab w:val="center" w:pos="4153"/>
        <w:tab w:val="right" w:pos="8306"/>
      </w:tabs>
      <w:snapToGrid w:val="0"/>
      <w:jc w:val="left"/>
    </w:pPr>
    <w:rPr>
      <w:kern w:val="0"/>
      <w:sz w:val="18"/>
      <w:szCs w:val="18"/>
    </w:rPr>
  </w:style>
  <w:style w:type="paragraph" w:styleId="18">
    <w:name w:val="header"/>
    <w:basedOn w:val="1"/>
    <w:link w:val="5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_Style 0"/>
    <w:qFormat/>
    <w:uiPriority w:val="1"/>
    <w:pPr>
      <w:widowControl w:val="0"/>
      <w:jc w:val="both"/>
    </w:pPr>
    <w:rPr>
      <w:kern w:val="2"/>
      <w:sz w:val="21"/>
      <w:szCs w:val="24"/>
      <w:lang w:val="en-US" w:eastAsia="zh-CN" w:bidi="ar-SA"/>
    </w:rPr>
  </w:style>
  <w:style w:type="paragraph" w:customStyle="1" w:styleId="2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29">
    <w:name w:val="Char"/>
    <w:basedOn w:val="30"/>
    <w:link w:val="51"/>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0">
    <w:name w:val="List Paragraph"/>
    <w:basedOn w:val="1"/>
    <w:qFormat/>
    <w:uiPriority w:val="34"/>
    <w:pPr>
      <w:ind w:firstLine="420" w:firstLineChars="200"/>
    </w:pPr>
  </w:style>
  <w:style w:type="paragraph" w:customStyle="1" w:styleId="31">
    <w:name w:val="NO"/>
    <w:basedOn w:val="1"/>
    <w:link w:val="75"/>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2">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3">
    <w:name w:val="TAH"/>
    <w:basedOn w:val="34"/>
    <w:link w:val="60"/>
    <w:uiPriority w:val="0"/>
    <w:rPr>
      <w:b/>
    </w:rPr>
  </w:style>
  <w:style w:type="paragraph" w:customStyle="1" w:styleId="34">
    <w:name w:val="TAC"/>
    <w:basedOn w:val="35"/>
    <w:link w:val="71"/>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63"/>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styleId="36">
    <w:name w:val="No Spacing"/>
    <w:qFormat/>
    <w:uiPriority w:val="1"/>
    <w:pPr>
      <w:widowControl w:val="0"/>
      <w:jc w:val="both"/>
    </w:pPr>
    <w:rPr>
      <w:kern w:val="2"/>
      <w:sz w:val="21"/>
      <w:szCs w:val="24"/>
      <w:lang w:val="en-US" w:eastAsia="zh-CN" w:bidi="ar-SA"/>
    </w:rPr>
  </w:style>
  <w:style w:type="paragraph" w:customStyle="1" w:styleId="37">
    <w:name w:val="EQ"/>
    <w:basedOn w:val="1"/>
    <w:next w:val="1"/>
    <w:uiPriority w:val="0"/>
    <w:pPr>
      <w:keepLines/>
      <w:tabs>
        <w:tab w:val="center" w:pos="4536"/>
        <w:tab w:val="right" w:pos="9072"/>
      </w:tabs>
    </w:pPr>
  </w:style>
  <w:style w:type="paragraph" w:customStyle="1" w:styleId="38">
    <w:name w:val="TAN"/>
    <w:basedOn w:val="1"/>
    <w:link w:val="72"/>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9">
    <w:name w:val="TH"/>
    <w:basedOn w:val="1"/>
    <w:link w:val="55"/>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0">
    <w:name w:val="正文1"/>
    <w:basedOn w:val="1"/>
    <w:link w:val="56"/>
    <w:qFormat/>
    <w:uiPriority w:val="0"/>
    <w:pPr>
      <w:adjustRightInd w:val="0"/>
      <w:spacing w:after="180"/>
    </w:pPr>
    <w:rPr>
      <w:kern w:val="0"/>
      <w:sz w:val="20"/>
      <w:szCs w:val="20"/>
    </w:rPr>
  </w:style>
  <w:style w:type="paragraph" w:customStyle="1" w:styleId="41">
    <w:name w:val="char char char"/>
    <w:basedOn w:val="40"/>
    <w:link w:val="53"/>
    <w:qFormat/>
    <w:uiPriority w:val="0"/>
    <w:pPr>
      <w:keepNext/>
      <w:keepLines/>
      <w:widowControl/>
      <w:spacing w:before="120"/>
      <w:ind w:firstLine="40"/>
      <w:outlineLvl w:val="2"/>
    </w:pPr>
    <w:rPr>
      <w:rFonts w:ascii="Arial" w:hAnsi="Arial"/>
      <w:sz w:val="24"/>
      <w:szCs w:val="28"/>
    </w:rPr>
  </w:style>
  <w:style w:type="paragraph" w:customStyle="1" w:styleId="42">
    <w:name w:val="char char"/>
    <w:basedOn w:val="40"/>
    <w:link w:val="48"/>
    <w:qFormat/>
    <w:uiPriority w:val="0"/>
    <w:pPr>
      <w:spacing w:before="180" w:after="120"/>
      <w:outlineLvl w:val="1"/>
    </w:pPr>
    <w:rPr>
      <w:rFonts w:ascii="Arial" w:hAnsi="Arial"/>
      <w:sz w:val="28"/>
      <w:szCs w:val="32"/>
    </w:rPr>
  </w:style>
  <w:style w:type="paragraph" w:customStyle="1" w:styleId="43">
    <w:name w:val="B1"/>
    <w:basedOn w:val="19"/>
    <w:link w:val="49"/>
    <w:uiPriority w:val="0"/>
    <w:pPr>
      <w:widowControl/>
      <w:spacing w:after="180"/>
      <w:ind w:left="568" w:hanging="284" w:firstLineChars="0"/>
      <w:jc w:val="left"/>
    </w:pPr>
    <w:rPr>
      <w:rFonts w:eastAsia="MS Mincho"/>
      <w:kern w:val="0"/>
      <w:sz w:val="20"/>
      <w:szCs w:val="20"/>
      <w:lang w:val="en-GB" w:eastAsia="de-DE"/>
    </w:rPr>
  </w:style>
  <w:style w:type="paragraph" w:customStyle="1" w:styleId="44">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character" w:customStyle="1" w:styleId="45">
    <w:name w:val="msoins"/>
    <w:basedOn w:val="21"/>
    <w:uiPriority w:val="0"/>
  </w:style>
  <w:style w:type="character" w:customStyle="1" w:styleId="46">
    <w:name w:val="op_dict_text2"/>
    <w:basedOn w:val="21"/>
    <w:uiPriority w:val="0"/>
  </w:style>
  <w:style w:type="character" w:customStyle="1" w:styleId="47">
    <w:name w:val="Heading 1 Char"/>
    <w:link w:val="2"/>
    <w:uiPriority w:val="9"/>
    <w:rPr>
      <w:rFonts w:ascii="Cambria" w:hAnsi="Cambria" w:eastAsia="宋体" w:cs="Times New Roman"/>
      <w:b/>
      <w:bCs/>
      <w:kern w:val="32"/>
      <w:sz w:val="32"/>
      <w:szCs w:val="32"/>
      <w:lang w:val="en-US"/>
    </w:rPr>
  </w:style>
  <w:style w:type="character" w:customStyle="1" w:styleId="48">
    <w:name w:val="char char Char"/>
    <w:link w:val="42"/>
    <w:uiPriority w:val="0"/>
    <w:rPr>
      <w:rFonts w:ascii="Arial" w:hAnsi="Arial" w:eastAsia="宋体" w:cs="Times New Roman"/>
      <w:kern w:val="0"/>
      <w:sz w:val="28"/>
      <w:szCs w:val="32"/>
    </w:rPr>
  </w:style>
  <w:style w:type="character" w:customStyle="1" w:styleId="49">
    <w:name w:val="B1 Char"/>
    <w:link w:val="43"/>
    <w:uiPriority w:val="0"/>
    <w:rPr>
      <w:rFonts w:ascii="Times New Roman" w:hAnsi="Times New Roman" w:eastAsia="MS Mincho"/>
      <w:lang w:val="en-GB" w:eastAsia="de-DE"/>
    </w:rPr>
  </w:style>
  <w:style w:type="character" w:customStyle="1" w:styleId="50">
    <w:name w:val="Header Char"/>
    <w:link w:val="18"/>
    <w:uiPriority w:val="99"/>
    <w:rPr>
      <w:sz w:val="18"/>
      <w:szCs w:val="18"/>
    </w:rPr>
  </w:style>
  <w:style w:type="character" w:customStyle="1" w:styleId="51">
    <w:name w:val="Char Char"/>
    <w:link w:val="29"/>
    <w:uiPriority w:val="0"/>
    <w:rPr>
      <w:rFonts w:ascii="Arial" w:hAnsi="Arial"/>
      <w:sz w:val="32"/>
      <w:szCs w:val="36"/>
    </w:rPr>
  </w:style>
  <w:style w:type="character" w:customStyle="1" w:styleId="52">
    <w:name w:val="Heading 5 Char"/>
    <w:link w:val="6"/>
    <w:uiPriority w:val="0"/>
    <w:rPr>
      <w:rFonts w:ascii="Arial" w:hAnsi="Arial" w:eastAsia="宋体"/>
      <w:sz w:val="22"/>
      <w:lang w:val="en-GB" w:eastAsia="en-US"/>
    </w:rPr>
  </w:style>
  <w:style w:type="character" w:customStyle="1" w:styleId="53">
    <w:name w:val="char char char Char"/>
    <w:link w:val="41"/>
    <w:uiPriority w:val="0"/>
    <w:rPr>
      <w:rFonts w:ascii="Arial" w:hAnsi="Arial" w:eastAsia="宋体" w:cs="Times New Roman"/>
      <w:kern w:val="0"/>
      <w:sz w:val="24"/>
      <w:szCs w:val="28"/>
    </w:rPr>
  </w:style>
  <w:style w:type="character" w:customStyle="1" w:styleId="54">
    <w:name w:val="Document Map Char"/>
    <w:link w:val="14"/>
    <w:semiHidden/>
    <w:uiPriority w:val="99"/>
    <w:rPr>
      <w:rFonts w:ascii="宋体" w:eastAsia="宋体"/>
      <w:sz w:val="18"/>
      <w:szCs w:val="18"/>
    </w:rPr>
  </w:style>
  <w:style w:type="character" w:customStyle="1" w:styleId="55">
    <w:name w:val="TH Char"/>
    <w:link w:val="39"/>
    <w:uiPriority w:val="0"/>
    <w:rPr>
      <w:rFonts w:ascii="Arial" w:hAnsi="Arial" w:eastAsia="宋体"/>
      <w:b/>
      <w:bCs/>
      <w:lang w:val="en-GB"/>
    </w:rPr>
  </w:style>
  <w:style w:type="character" w:customStyle="1" w:styleId="56">
    <w:name w:val="正文1 Char"/>
    <w:link w:val="40"/>
    <w:uiPriority w:val="0"/>
    <w:rPr>
      <w:rFonts w:ascii="Times New Roman" w:hAnsi="Times New Roman" w:eastAsia="宋体" w:cs="Times New Roman"/>
      <w:kern w:val="0"/>
      <w:sz w:val="20"/>
      <w:szCs w:val="20"/>
    </w:rPr>
  </w:style>
  <w:style w:type="character" w:customStyle="1" w:styleId="57">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8">
    <w:name w:val="Heading 3 Char"/>
    <w:link w:val="4"/>
    <w:uiPriority w:val="0"/>
    <w:rPr>
      <w:rFonts w:ascii="Arial" w:hAnsi="Arial"/>
      <w:sz w:val="28"/>
      <w:lang w:eastAsia="en-US"/>
    </w:rPr>
  </w:style>
  <w:style w:type="character" w:customStyle="1" w:styleId="59">
    <w:name w:val="Heading 8 Char"/>
    <w:link w:val="9"/>
    <w:uiPriority w:val="0"/>
    <w:rPr>
      <w:rFonts w:ascii="Arial" w:hAnsi="Arial" w:eastAsia="宋体"/>
      <w:sz w:val="36"/>
      <w:lang w:val="en-GB" w:eastAsia="en-US"/>
    </w:rPr>
  </w:style>
  <w:style w:type="character" w:customStyle="1" w:styleId="60">
    <w:name w:val="TAH Car"/>
    <w:link w:val="33"/>
    <w:uiPriority w:val="0"/>
    <w:rPr>
      <w:rFonts w:ascii="Arial" w:hAnsi="Arial" w:eastAsia="Times New Roman" w:cs="Times New Roman"/>
      <w:b/>
      <w:kern w:val="0"/>
      <w:sz w:val="18"/>
      <w:szCs w:val="20"/>
      <w:lang w:val="en-GB" w:eastAsia="ja-JP"/>
    </w:rPr>
  </w:style>
  <w:style w:type="character" w:customStyle="1" w:styleId="61">
    <w:name w:val="Heading 6 Char"/>
    <w:link w:val="7"/>
    <w:uiPriority w:val="0"/>
    <w:rPr>
      <w:rFonts w:ascii="Arial" w:hAnsi="Arial" w:eastAsia="宋体"/>
      <w:lang w:val="en-GB" w:eastAsia="en-US"/>
    </w:rPr>
  </w:style>
  <w:style w:type="character" w:customStyle="1" w:styleId="62">
    <w:name w:val="Heading 2 Char"/>
    <w:link w:val="3"/>
    <w:uiPriority w:val="0"/>
    <w:rPr>
      <w:rFonts w:ascii="Arial" w:hAnsi="Arial"/>
      <w:sz w:val="32"/>
      <w:lang w:eastAsia="en-US"/>
    </w:rPr>
  </w:style>
  <w:style w:type="character" w:customStyle="1" w:styleId="63">
    <w:name w:val="TAL Char"/>
    <w:link w:val="35"/>
    <w:uiPriority w:val="0"/>
    <w:rPr>
      <w:rFonts w:ascii="Arial" w:hAnsi="Arial"/>
      <w:sz w:val="18"/>
      <w:lang w:val="en-GB" w:eastAsia="en-US"/>
    </w:rPr>
  </w:style>
  <w:style w:type="character" w:customStyle="1" w:styleId="64">
    <w:name w:val="Caption Char"/>
    <w:link w:val="13"/>
    <w:uiPriority w:val="0"/>
    <w:rPr>
      <w:rFonts w:ascii="Arial" w:hAnsi="Arial" w:eastAsia="黑体"/>
    </w:rPr>
  </w:style>
  <w:style w:type="character" w:customStyle="1" w:styleId="65">
    <w:name w:val="keyword"/>
    <w:basedOn w:val="21"/>
    <w:uiPriority w:val="0"/>
  </w:style>
  <w:style w:type="character" w:customStyle="1" w:styleId="66">
    <w:name w:val="Heading 7 Char"/>
    <w:link w:val="8"/>
    <w:uiPriority w:val="0"/>
    <w:rPr>
      <w:rFonts w:ascii="Arial" w:hAnsi="Arial" w:eastAsia="宋体"/>
      <w:lang w:val="en-GB" w:eastAsia="en-US"/>
    </w:rPr>
  </w:style>
  <w:style w:type="character" w:customStyle="1" w:styleId="67">
    <w:name w:val="Heading 9 Char"/>
    <w:link w:val="10"/>
    <w:uiPriority w:val="0"/>
    <w:rPr>
      <w:rFonts w:ascii="Arial" w:hAnsi="Arial" w:eastAsia="宋体"/>
      <w:sz w:val="36"/>
      <w:lang w:val="en-GB" w:eastAsia="en-US"/>
    </w:rPr>
  </w:style>
  <w:style w:type="character" w:customStyle="1" w:styleId="68">
    <w:name w:val="Comment Text Char"/>
    <w:link w:val="12"/>
    <w:semiHidden/>
    <w:uiPriority w:val="99"/>
    <w:rPr>
      <w:kern w:val="2"/>
      <w:lang w:eastAsia="zh-CN"/>
    </w:rPr>
  </w:style>
  <w:style w:type="character" w:customStyle="1" w:styleId="69">
    <w:name w:val="Comment Subject Char"/>
    <w:link w:val="11"/>
    <w:semiHidden/>
    <w:uiPriority w:val="99"/>
    <w:rPr>
      <w:b/>
      <w:bCs/>
      <w:kern w:val="2"/>
      <w:lang w:eastAsia="zh-CN"/>
    </w:rPr>
  </w:style>
  <w:style w:type="character" w:customStyle="1" w:styleId="70">
    <w:name w:val="Heading 4 Char"/>
    <w:link w:val="5"/>
    <w:uiPriority w:val="0"/>
    <w:rPr>
      <w:rFonts w:ascii="Arial" w:hAnsi="Arial" w:eastAsia="宋体"/>
      <w:sz w:val="24"/>
      <w:lang w:val="en-GB" w:eastAsia="en-US"/>
    </w:rPr>
  </w:style>
  <w:style w:type="character" w:customStyle="1" w:styleId="71">
    <w:name w:val="TAC Char"/>
    <w:link w:val="34"/>
    <w:uiPriority w:val="0"/>
    <w:rPr>
      <w:rFonts w:ascii="Arial" w:hAnsi="Arial" w:eastAsia="Times New Roman" w:cs="Times New Roman"/>
      <w:kern w:val="0"/>
      <w:sz w:val="18"/>
      <w:szCs w:val="20"/>
      <w:lang w:val="en-GB" w:eastAsia="ja-JP"/>
    </w:rPr>
  </w:style>
  <w:style w:type="character" w:customStyle="1" w:styleId="72">
    <w:name w:val="TAN Char"/>
    <w:link w:val="38"/>
    <w:uiPriority w:val="0"/>
    <w:rPr>
      <w:rFonts w:ascii="Arial" w:hAnsi="Arial" w:eastAsia="宋体"/>
      <w:sz w:val="18"/>
      <w:szCs w:val="18"/>
      <w:lang w:val="en-GB"/>
    </w:rPr>
  </w:style>
  <w:style w:type="character" w:customStyle="1" w:styleId="73">
    <w:name w:val="Balloon Text Char"/>
    <w:link w:val="16"/>
    <w:semiHidden/>
    <w:uiPriority w:val="99"/>
    <w:rPr>
      <w:kern w:val="2"/>
      <w:sz w:val="18"/>
      <w:szCs w:val="18"/>
    </w:rPr>
  </w:style>
  <w:style w:type="character" w:customStyle="1" w:styleId="74">
    <w:name w:val="Footer Char"/>
    <w:link w:val="17"/>
    <w:uiPriority w:val="99"/>
    <w:rPr>
      <w:sz w:val="18"/>
      <w:szCs w:val="18"/>
    </w:rPr>
  </w:style>
  <w:style w:type="character" w:customStyle="1" w:styleId="75">
    <w:name w:val="NO Char"/>
    <w:link w:val="31"/>
    <w:uiPriority w:val="0"/>
    <w:rPr>
      <w:rFonts w:ascii="Times New Roman" w:hAnsi="Times New Roman" w:eastAsia="Times New Roman"/>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0</TotalTime>
  <ScaleCrop>false</ScaleCrop>
  <LinksUpToDate>false</LinksUpToDate>
  <CharactersWithSpaces>2909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